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84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9"/>
        <w:gridCol w:w="558"/>
        <w:gridCol w:w="1584"/>
        <w:gridCol w:w="1066"/>
        <w:gridCol w:w="1143"/>
        <w:gridCol w:w="993"/>
        <w:gridCol w:w="682"/>
        <w:gridCol w:w="1350"/>
        <w:gridCol w:w="859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93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技术需求表（通用物资）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14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数据分析系统</w:t>
            </w:r>
          </w:p>
        </w:tc>
        <w:tc>
          <w:tcPr>
            <w:tcW w:w="10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1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数量（项）</w:t>
            </w:r>
          </w:p>
        </w:tc>
        <w:tc>
          <w:tcPr>
            <w:tcW w:w="6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预算总金额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11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需求类别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需求名称</w:t>
            </w:r>
          </w:p>
        </w:tc>
        <w:tc>
          <w:tcPr>
            <w:tcW w:w="523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技术参数和需求内容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7" w:hRule="atLeast"/>
        </w:trPr>
        <w:tc>
          <w:tcPr>
            <w:tcW w:w="11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rFonts w:ascii="宋体" w:hAnsi="宋体" w:eastAsia="宋体" w:cs="宋体"/>
                <w:sz w:val="24"/>
                <w:szCs w:val="24"/>
                <w:lang w:val="en-US" w:eastAsia="zh-CN" w:bidi="ar"/>
              </w:rPr>
              <w:t>符合性要求</w:t>
            </w:r>
            <w:r>
              <w:rPr>
                <w:rStyle w:val="6"/>
                <w:rFonts w:hAnsi="宋体"/>
                <w:lang w:val="en-US" w:eastAsia="zh-CN" w:bidi="ar"/>
              </w:rPr>
              <w:t>（*号指标或其他必须响应条款）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*1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523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本设备具备多组学数据的整合分析功能的分析系统，并能通过多模态分析建立非传统生物安全因素评估和预警模型。需实现指标功能为：1. 兼容样本存储、数据存储、数据分析功能；2.具备多组学（基因组学、代谢组学、蛋白组学和表观遗传学）数据整合；3.具备多模态分析工具；4.具备预警模型开发功能；5.简化数据导出功能，高效将数据传输到基因分型概率分析软件；6.开放性平台，根据需求方的要求进行不断完善；7.为后续需求预留端口。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5" w:hRule="atLeast"/>
        </w:trPr>
        <w:tc>
          <w:tcPr>
            <w:tcW w:w="11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*2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523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200" w:firstLineChars="10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2台T640服务器，一台电脑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 服务器配置 "2台T640服务器，每台包含：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1）CPU：2*6258R（28核心，2.7主频）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2）内存12*64G DDR4内存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3）硬盘：系统盘512G+数据盘SSD+5*16T SATA硬盘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4）阵列卡：H740P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5）独立GPU：A30 24GB/2*GE/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6）配置双电源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2.2 电脑配置 CPU配置不低于：i5-11400,32G内存，256Gssd硬盘+2T硬盘，23英寸显示器）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1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其他符合性条款</w:t>
            </w:r>
          </w:p>
        </w:tc>
        <w:tc>
          <w:tcPr>
            <w:tcW w:w="523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149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5"/>
                <w:rFonts w:ascii="宋体" w:hAnsi="宋体" w:eastAsia="宋体" w:cs="宋体"/>
                <w:sz w:val="24"/>
                <w:szCs w:val="24"/>
                <w:lang w:val="en-US" w:eastAsia="zh-CN" w:bidi="ar"/>
              </w:rPr>
              <w:t>资格性要求</w:t>
            </w:r>
            <w:r>
              <w:rPr>
                <w:rStyle w:val="6"/>
                <w:rFonts w:hAnsi="宋体"/>
                <w:lang w:val="en-US" w:eastAsia="zh-CN" w:bidi="ar"/>
              </w:rPr>
              <w:t>（指对产品或企业投标资格的要求）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产品资格</w:t>
            </w:r>
          </w:p>
        </w:tc>
        <w:tc>
          <w:tcPr>
            <w:tcW w:w="523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14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企业资格</w:t>
            </w:r>
          </w:p>
        </w:tc>
        <w:tc>
          <w:tcPr>
            <w:tcW w:w="523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1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其他资格性条款</w:t>
            </w:r>
          </w:p>
        </w:tc>
        <w:tc>
          <w:tcPr>
            <w:tcW w:w="523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</w:trPr>
        <w:tc>
          <w:tcPr>
            <w:tcW w:w="11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技术性要求</w:t>
            </w: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技术力量</w:t>
            </w:r>
          </w:p>
        </w:tc>
        <w:tc>
          <w:tcPr>
            <w:tcW w:w="523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本项目实施团队要求至少配备2名具有生物信息学或生物医学工程学位的成员。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5" w:hRule="atLeast"/>
        </w:trPr>
        <w:tc>
          <w:tcPr>
            <w:tcW w:w="114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性能指标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34" w:type="dxa"/>
            <w:gridSpan w:val="5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*2.1 </w:t>
            </w:r>
            <w:r>
              <w:rPr>
                <w:rStyle w:val="7"/>
                <w:lang w:val="en-US" w:eastAsia="zh-CN" w:bidi="ar"/>
              </w:rPr>
              <w:t>系统架构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Style w:val="7"/>
                <w:lang w:val="en-US" w:eastAsia="zh-CN" w:bidi="ar"/>
              </w:rPr>
              <w:t>系统采用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B/S</w:t>
            </w:r>
            <w:r>
              <w:rPr>
                <w:rStyle w:val="7"/>
                <w:lang w:val="en-US" w:eastAsia="zh-CN" w:bidi="ar"/>
              </w:rPr>
              <w:t>架构，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docker</w:t>
            </w:r>
            <w:r>
              <w:rPr>
                <w:rStyle w:val="7"/>
                <w:lang w:val="en-US" w:eastAsia="zh-CN" w:bidi="ar"/>
              </w:rPr>
              <w:t>容器架构；运行环境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Linux </w:t>
            </w:r>
            <w:r>
              <w:rPr>
                <w:rStyle w:val="7"/>
                <w:lang w:val="en-US" w:eastAsia="zh-CN" w:bidi="ar"/>
              </w:rPr>
              <w:t>操作系统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2.2 </w:t>
            </w:r>
            <w:r>
              <w:rPr>
                <w:rStyle w:val="7"/>
                <w:lang w:val="en-US" w:eastAsia="zh-CN" w:bidi="ar"/>
              </w:rPr>
              <w:t>操作系统与数据库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Style w:val="7"/>
                <w:lang w:val="en-US" w:eastAsia="zh-CN" w:bidi="ar"/>
              </w:rPr>
              <w:t>服务器端采用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Linux</w:t>
            </w:r>
            <w:r>
              <w:rPr>
                <w:rStyle w:val="7"/>
                <w:lang w:val="en-US" w:eastAsia="zh-CN" w:bidi="ar"/>
              </w:rPr>
              <w:t>系统，数据库采用主流开源的数据库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2.3 </w:t>
            </w:r>
            <w:r>
              <w:rPr>
                <w:rStyle w:val="7"/>
                <w:lang w:val="en-US" w:eastAsia="zh-CN" w:bidi="ar"/>
              </w:rPr>
              <w:t>兼容样本存储、数据存储、数据分析功能；团队用户管理，数据权限控制；样本管理、样本信息与测序数据关联管理；数据分析流程引擎，流程管理，支持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docker</w:t>
            </w:r>
            <w:r>
              <w:rPr>
                <w:rStyle w:val="7"/>
                <w:lang w:val="en-US" w:eastAsia="zh-CN" w:bidi="ar"/>
              </w:rPr>
              <w:t>容器化分析流程运行；分析任务管理，包括任务运行状态查看，任务运行结果管理、结果可视化查看，结果文件下载。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Style w:val="7"/>
                <w:rFonts w:hint="eastAsia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•2.4 </w:t>
            </w:r>
            <w:r>
              <w:rPr>
                <w:rStyle w:val="7"/>
                <w:lang w:val="en-US" w:eastAsia="zh-CN" w:bidi="ar"/>
              </w:rPr>
              <w:t>具备多组学（基因组学、代谢组学、蛋白组学和表观遗传学）数据整合；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Style w:val="7"/>
                <w:lang w:val="en-US" w:eastAsia="zh-CN" w:bidi="ar"/>
              </w:rPr>
              <w:t>用户利用该平台可方便地上传多组学（基因组学、代谢组学、蛋白组学和表观遗传学）矩阵数据，选择融合算法，支持基因突变谱、基因表达谱、蛋白质谱、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DNA</w:t>
            </w:r>
            <w:r>
              <w:rPr>
                <w:rStyle w:val="7"/>
                <w:lang w:val="en-US" w:eastAsia="zh-CN" w:bidi="ar"/>
              </w:rPr>
              <w:t>甲基化谱等多组学数据的整合。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2.5 </w:t>
            </w:r>
            <w:r>
              <w:rPr>
                <w:rStyle w:val="7"/>
                <w:lang w:val="en-US" w:eastAsia="zh-CN" w:bidi="ar"/>
              </w:rPr>
              <w:t>具备多模态分析工具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Style w:val="7"/>
                <w:lang w:val="en-US" w:eastAsia="zh-CN" w:bidi="ar"/>
              </w:rPr>
              <w:t>支持常用临床研究基础统计分析工具，比如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</w:t>
            </w:r>
            <w:r>
              <w:rPr>
                <w:rStyle w:val="7"/>
                <w:lang w:val="en-US" w:eastAsia="zh-CN" w:bidi="ar"/>
              </w:rPr>
              <w:t>检验、相关性分析、方差分析等。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•2.6 </w:t>
            </w:r>
            <w:r>
              <w:rPr>
                <w:rStyle w:val="7"/>
                <w:lang w:val="en-US" w:eastAsia="zh-CN" w:bidi="ar"/>
              </w:rPr>
              <w:t>具备预警模型开发功能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Style w:val="7"/>
                <w:lang w:val="en-US" w:eastAsia="zh-CN" w:bidi="ar"/>
              </w:rPr>
              <w:t>搭建机器学习模型（比如回归分析、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SVM</w:t>
            </w:r>
            <w:r>
              <w:rPr>
                <w:rStyle w:val="7"/>
                <w:lang w:val="en-US" w:eastAsia="zh-CN" w:bidi="ar"/>
              </w:rPr>
              <w:t>、贝叶斯、随机森林、多层人工神经网络等），提取组学数据矩阵（基因和样本）数据的关键特征参数，指导疾病分型方面的预测模型开发和应用。支持常用的机器学习模型。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2.7 </w:t>
            </w:r>
            <w:r>
              <w:rPr>
                <w:rStyle w:val="7"/>
                <w:lang w:val="en-US" w:eastAsia="zh-CN" w:bidi="ar"/>
              </w:rPr>
              <w:t>简化数据导出功能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Style w:val="7"/>
                <w:lang w:val="en-US" w:eastAsia="zh-CN" w:bidi="ar"/>
              </w:rPr>
              <w:t>高效将数据传输到基因分型概率分析软件，基于工具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  <w:r>
              <w:rPr>
                <w:rStyle w:val="7"/>
                <w:lang w:val="en-US" w:eastAsia="zh-CN" w:bidi="ar"/>
              </w:rPr>
              <w:t>工作流引擎封装权威通用的算法软件。数据分析文件管理，可以使用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ftp</w:t>
            </w:r>
            <w:r>
              <w:rPr>
                <w:rStyle w:val="7"/>
                <w:lang w:val="en-US" w:eastAsia="zh-CN" w:bidi="ar"/>
              </w:rPr>
              <w:t>上传文件并导入系统，对接系统上配置的分析软件；便捷的数据导入导出，灵活的数据统计报表，自动填充报告模板渲染展示分析结果。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*2.8 </w:t>
            </w:r>
            <w:r>
              <w:rPr>
                <w:rStyle w:val="7"/>
                <w:lang w:val="en-US" w:eastAsia="zh-CN" w:bidi="ar"/>
              </w:rPr>
              <w:t>功能基础框架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Style w:val="7"/>
                <w:lang w:val="en-US" w:eastAsia="zh-CN" w:bidi="ar"/>
              </w:rPr>
              <w:t>包括但不限于（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Style w:val="7"/>
                <w:lang w:val="en-US" w:eastAsia="zh-CN" w:bidi="ar"/>
              </w:rPr>
              <w:t>）工具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/</w:t>
            </w:r>
            <w:r>
              <w:rPr>
                <w:rStyle w:val="7"/>
                <w:lang w:val="en-US" w:eastAsia="zh-CN" w:bidi="ar"/>
              </w:rPr>
              <w:t>工作流引擎：工具和流程支持卡片和表格两种视图管理，灵活可配定制化参数页面，数据分析工具和流程可以使用可视化编辑器进行修改，支持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cwl</w:t>
            </w:r>
            <w:r>
              <w:rPr>
                <w:rStyle w:val="7"/>
                <w:lang w:val="en-US" w:eastAsia="zh-CN" w:bidi="ar"/>
              </w:rPr>
              <w:t>流程文件格式支持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Docker</w:t>
            </w:r>
            <w:r>
              <w:rPr>
                <w:rStyle w:val="7"/>
                <w:lang w:val="en-US" w:eastAsia="zh-CN" w:bidi="ar"/>
              </w:rPr>
              <w:t>的工具封装方式，方便迁移与部署。（</w:t>
            </w:r>
            <w:r>
              <w:rPr>
                <w:rStyle w:val="7"/>
                <w:rFonts w:hint="default"/>
                <w:lang w:val="en-US" w:eastAsia="zh-CN" w:bidi="ar"/>
              </w:rPr>
              <w:t>2</w:t>
            </w:r>
            <w:r>
              <w:rPr>
                <w:rStyle w:val="7"/>
                <w:lang w:val="en-US" w:eastAsia="zh-CN" w:bidi="ar"/>
              </w:rPr>
              <w:t>）分析任务管理模块：提供分析任务状态跟踪和查看功能，支持新增分析任务，支持删除任务。分析任务可按权限配置。</w:t>
            </w:r>
            <w:r>
              <w:rPr>
                <w:rStyle w:val="7"/>
                <w:rFonts w:hint="eastAsia"/>
                <w:lang w:val="en-US" w:eastAsia="zh-CN" w:bidi="ar"/>
              </w:rPr>
              <w:t>（3）分析队列管理模块:支持对流程自定义队列管理，可对接单台服务器或集群资源。支持任务的CPU和内存设置用于分配计算资源。（4）分析文件管理系统：按照权限分为系统文件、团队文件和个人文件，支持文件FTP和Web两种方式上传。支持文件夹和表格两种形式展示文件管理视图（5）分析报告系统：提供分析任务结果部分文件预览功能（支持纯文本、常用图片、html、PDF等格式预览），支持定制化配置分析报告模板，自动渲染分析结果，支持匿名访问报告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Style w:val="7"/>
                <w:rFonts w:hint="eastAsia"/>
                <w:lang w:val="en-US" w:eastAsia="zh-CN" w:bidi="ar"/>
              </w:rPr>
              <w:t>2.9 定制化多组学数据整合工具 支持基因突变谱、基因表达谱、蛋白质谱、DNA甲基化谱等多组学数据的整合；用户利用该平台可方便地上传多组学（基因组学、代谢组学、蛋白组学和表观遗传学）矩阵数据，选择融合算法，进行多组学数据整合。融合算法包括但不限于：Kmeans、SOM、Hclust、ICA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•2.10 </w:t>
            </w:r>
            <w:r>
              <w:rPr>
                <w:rStyle w:val="7"/>
                <w:lang w:val="en-US" w:eastAsia="zh-CN" w:bidi="ar"/>
              </w:rPr>
              <w:t>多模态分析工具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Style w:val="7"/>
                <w:lang w:val="en-US" w:eastAsia="zh-CN" w:bidi="ar"/>
              </w:rPr>
              <w:t>包括但不限于：（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Style w:val="7"/>
                <w:lang w:val="en-US" w:eastAsia="zh-CN" w:bidi="ar"/>
              </w:rPr>
              <w:t>）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</w:t>
            </w:r>
            <w:r>
              <w:rPr>
                <w:rStyle w:val="7"/>
                <w:lang w:val="en-US" w:eastAsia="zh-CN" w:bidi="ar"/>
              </w:rPr>
              <w:t>检验（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Style w:val="7"/>
                <w:lang w:val="en-US" w:eastAsia="zh-CN" w:bidi="ar"/>
              </w:rPr>
              <w:t>）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Pearson</w:t>
            </w:r>
            <w:r>
              <w:rPr>
                <w:rStyle w:val="7"/>
                <w:lang w:val="en-US" w:eastAsia="zh-CN" w:bidi="ar"/>
              </w:rPr>
              <w:t>相关性分析（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  <w:r>
              <w:rPr>
                <w:rStyle w:val="7"/>
                <w:lang w:val="en-US" w:eastAsia="zh-CN" w:bidi="ar"/>
              </w:rPr>
              <w:t>）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Spearman</w:t>
            </w:r>
            <w:r>
              <w:rPr>
                <w:rStyle w:val="7"/>
                <w:lang w:val="en-US" w:eastAsia="zh-CN" w:bidi="ar"/>
              </w:rPr>
              <w:t>相关性分析（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  <w:r>
              <w:rPr>
                <w:rStyle w:val="7"/>
                <w:lang w:val="en-US" w:eastAsia="zh-CN" w:bidi="ar"/>
              </w:rPr>
              <w:t>）方差分析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•2.11 </w:t>
            </w:r>
            <w:r>
              <w:rPr>
                <w:rStyle w:val="7"/>
                <w:lang w:val="en-US" w:eastAsia="zh-CN" w:bidi="ar"/>
              </w:rPr>
              <w:t>临床研究预测预警建模分析模块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Style w:val="7"/>
                <w:lang w:val="en-US" w:eastAsia="zh-CN" w:bidi="ar"/>
              </w:rPr>
              <w:t>搭建机器学习模型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,</w:t>
            </w:r>
            <w:r>
              <w:rPr>
                <w:rStyle w:val="7"/>
                <w:lang w:val="en-US" w:eastAsia="zh-CN" w:bidi="ar"/>
              </w:rPr>
              <w:t>回归分析、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SVM</w:t>
            </w:r>
            <w:r>
              <w:rPr>
                <w:rStyle w:val="7"/>
                <w:lang w:val="en-US" w:eastAsia="zh-CN" w:bidi="ar"/>
              </w:rPr>
              <w:t>、贝叶斯、随机森林、多层人工神经网络等，提取组学数据矩阵（基因和样本）数据的关键特征参数，指导疾病分型方面的预测模型开发和应用。支持常用的机器学习模型，包括但不限于：（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Style w:val="7"/>
                <w:lang w:val="en-US" w:eastAsia="zh-CN" w:bidi="ar"/>
              </w:rPr>
              <w:t>）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Logistic</w:t>
            </w:r>
            <w:r>
              <w:rPr>
                <w:rStyle w:val="7"/>
                <w:lang w:val="en-US" w:eastAsia="zh-CN" w:bidi="ar"/>
              </w:rPr>
              <w:t>回归（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Style w:val="7"/>
                <w:lang w:val="en-US" w:eastAsia="zh-CN" w:bidi="ar"/>
              </w:rPr>
              <w:t>）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Lasso</w:t>
            </w:r>
            <w:r>
              <w:rPr>
                <w:rStyle w:val="7"/>
                <w:lang w:val="en-US" w:eastAsia="zh-CN" w:bidi="ar"/>
              </w:rPr>
              <w:t>回归（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  <w:r>
              <w:rPr>
                <w:rStyle w:val="7"/>
                <w:lang w:val="en-US" w:eastAsia="zh-CN" w:bidi="ar"/>
              </w:rPr>
              <w:t>）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ridge</w:t>
            </w:r>
            <w:r>
              <w:rPr>
                <w:rStyle w:val="7"/>
                <w:lang w:val="en-US" w:eastAsia="zh-CN" w:bidi="ar"/>
              </w:rPr>
              <w:t>回归（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  <w:r>
              <w:rPr>
                <w:rStyle w:val="7"/>
                <w:lang w:val="en-US" w:eastAsia="zh-CN" w:bidi="ar"/>
              </w:rPr>
              <w:t>）随机森林（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  <w:r>
              <w:rPr>
                <w:rStyle w:val="7"/>
                <w:lang w:val="en-US" w:eastAsia="zh-CN" w:bidi="ar"/>
              </w:rPr>
              <w:t>）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XGBoost</w:t>
            </w:r>
            <w:r>
              <w:rPr>
                <w:rStyle w:val="7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  <w:r>
              <w:rPr>
                <w:rStyle w:val="7"/>
                <w:lang w:val="en-US" w:eastAsia="zh-CN" w:bidi="ar"/>
              </w:rPr>
              <w:t>）贝叶斯分类器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Style w:val="7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  <w:r>
              <w:rPr>
                <w:rStyle w:val="7"/>
                <w:lang w:val="en-US" w:eastAsia="zh-CN" w:bidi="ar"/>
              </w:rPr>
              <w:t>）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KneighborsClassifier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•2.12 </w:t>
            </w:r>
            <w:r>
              <w:rPr>
                <w:rStyle w:val="7"/>
                <w:lang w:val="en-US" w:eastAsia="zh-CN" w:bidi="ar"/>
              </w:rPr>
              <w:t>软硬件兼容性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Style w:val="7"/>
                <w:lang w:val="en-US" w:eastAsia="zh-CN" w:bidi="ar"/>
              </w:rPr>
              <w:t>支持市面上流行且最新版的浏览器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,</w:t>
            </w:r>
            <w:r>
              <w:rPr>
                <w:rStyle w:val="7"/>
                <w:lang w:val="en-US" w:eastAsia="zh-CN" w:bidi="ar"/>
              </w:rPr>
              <w:t>至少兼容最低：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Chromium</w:t>
            </w:r>
            <w:r>
              <w:rPr>
                <w:rStyle w:val="7"/>
                <w:lang w:val="en-US" w:eastAsia="zh-CN" w:bidi="ar"/>
              </w:rPr>
              <w:t>内核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v49.1</w:t>
            </w:r>
            <w:r>
              <w:rPr>
                <w:rStyle w:val="7"/>
                <w:lang w:val="en-US" w:eastAsia="zh-CN" w:bidi="ar"/>
              </w:rPr>
              <w:t>或以上。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2.13</w:t>
            </w:r>
            <w:r>
              <w:rPr>
                <w:rStyle w:val="7"/>
                <w:lang w:val="en-US" w:eastAsia="zh-CN" w:bidi="ar"/>
              </w:rPr>
              <w:t>拓展性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Style w:val="7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  <w:r>
              <w:rPr>
                <w:rStyle w:val="7"/>
                <w:lang w:val="en-US" w:eastAsia="zh-CN" w:bidi="ar"/>
              </w:rPr>
              <w:t>）软件系统与硬件连接通讯的技术方案，需采用通用的技术，如：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TCP</w:t>
            </w:r>
            <w:r>
              <w:rPr>
                <w:rStyle w:val="7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WebSocket</w:t>
            </w:r>
            <w:r>
              <w:rPr>
                <w:rStyle w:val="7"/>
                <w:lang w:val="en-US" w:eastAsia="zh-CN" w:bidi="ar"/>
              </w:rPr>
              <w:t>等常见协议；（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  <w:r>
              <w:rPr>
                <w:rStyle w:val="7"/>
                <w:lang w:val="en-US" w:eastAsia="zh-CN" w:bidi="ar"/>
              </w:rPr>
              <w:t>）软件系统部署后，需开放硬件连接、授权鉴权、远程开关等必备的接口，并形成标准的接口文档；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c</w:t>
            </w:r>
            <w:r>
              <w:rPr>
                <w:rStyle w:val="7"/>
                <w:lang w:val="en-US" w:eastAsia="zh-CN" w:bidi="ar"/>
              </w:rPr>
              <w:t>、软件系统不能限制硬件的品牌以及操作系统。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2.14</w:t>
            </w:r>
            <w:r>
              <w:rPr>
                <w:rStyle w:val="7"/>
                <w:lang w:val="en-US" w:eastAsia="zh-CN" w:bidi="ar"/>
              </w:rPr>
              <w:t>稳定性和创新性</w:t>
            </w:r>
            <w:r>
              <w:rPr>
                <w:rFonts w:hint="default" w:ascii="Times New Roman" w:hAnsi="Times New Roman" w:eastAsia="宋体" w:cs="Times New Roman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Style w:val="7"/>
                <w:lang w:val="en-US" w:eastAsia="zh-CN" w:bidi="ar"/>
              </w:rPr>
              <w:t>软件系统具有稳定性、使用安全性、可靠性、特色技术、创新技术。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4" w:hRule="atLeast"/>
        </w:trPr>
        <w:tc>
          <w:tcPr>
            <w:tcW w:w="114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234" w:type="dxa"/>
            <w:gridSpan w:val="5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6" w:hRule="atLeast"/>
        </w:trPr>
        <w:tc>
          <w:tcPr>
            <w:tcW w:w="1149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558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7"/>
                <w:lang w:val="en-US" w:eastAsia="zh-CN" w:bidi="ar"/>
              </w:rPr>
              <w:t>•</w:t>
            </w:r>
            <w:r>
              <w:rPr>
                <w:rStyle w:val="8"/>
                <w:rFonts w:hAnsi="宋体"/>
                <w:lang w:val="en-US" w:eastAsia="zh-CN" w:bidi="ar"/>
              </w:rPr>
              <w:t>3</w:t>
            </w:r>
          </w:p>
        </w:tc>
        <w:tc>
          <w:tcPr>
            <w:tcW w:w="1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售后服务</w:t>
            </w:r>
          </w:p>
        </w:tc>
        <w:tc>
          <w:tcPr>
            <w:tcW w:w="523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*3.1 维修及维护服务 甲方对产品具有永久使用权，硬件3年维护；软件5年免费维护和升级。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3.2 免费提供技术咨询。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3.3 需定期检测系统、数据库、以及设备的运行状况。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3.4 培训  应派专业技术人员免费对采购单位指定人员进行定期培训及指导，直至其完全掌握软件的使用方法；提供现场培训：中标人应提供现场技术培训，保证使用人员正常操作设备的各种功能；提供集中培训：根据软件的技术要求，可向中标人提供使用和维修技术人员培训。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3.5 维修响应时间 维修到达现场时间≤4小时（京内）；维修到达现场时间≤48小时（京外）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3.6 交货期 合同签订后3个月内交货</w:t>
            </w:r>
          </w:p>
        </w:tc>
        <w:tc>
          <w:tcPr>
            <w:tcW w:w="8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7" w:hRule="atLeast"/>
        </w:trPr>
        <w:tc>
          <w:tcPr>
            <w:tcW w:w="9384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Style w:val="7"/>
                <w:lang w:val="en-US" w:eastAsia="zh-CN" w:bidi="ar"/>
              </w:rPr>
              <w:t>说明：1.加注“*”号的技术指标为关键指标，≥1项未达到招标文件要求，即做废标处理</w:t>
            </w:r>
            <w:r>
              <w:rPr>
                <w:rStyle w:val="7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2.加注“·”号的技术指标为重要指标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3.加注“*”、“·”号的技术指标均需投标企业提供证明材料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D66524"/>
    <w:rsid w:val="19D66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character" w:customStyle="1" w:styleId="5">
    <w:name w:val="font112"/>
    <w:basedOn w:val="4"/>
    <w:qFormat/>
    <w:uiPriority w:val="0"/>
    <w:rPr>
      <w:rFonts w:hint="eastAsia" w:ascii="黑体" w:hAnsi="宋体" w:eastAsia="黑体" w:cs="黑体"/>
      <w:color w:val="000000"/>
      <w:sz w:val="20"/>
      <w:szCs w:val="20"/>
      <w:u w:val="none"/>
    </w:rPr>
  </w:style>
  <w:style w:type="character" w:customStyle="1" w:styleId="6">
    <w:name w:val="font151"/>
    <w:basedOn w:val="4"/>
    <w:qFormat/>
    <w:uiPriority w:val="0"/>
    <w:rPr>
      <w:rFonts w:ascii="楷体_GB2312" w:eastAsia="楷体_GB2312" w:cs="楷体_GB2312"/>
      <w:color w:val="000000"/>
      <w:sz w:val="20"/>
      <w:szCs w:val="20"/>
      <w:u w:val="none"/>
    </w:rPr>
  </w:style>
  <w:style w:type="character" w:customStyle="1" w:styleId="7">
    <w:name w:val="font3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8">
    <w:name w:val="font141"/>
    <w:basedOn w:val="4"/>
    <w:qFormat/>
    <w:uiPriority w:val="0"/>
    <w:rPr>
      <w:rFonts w:hint="eastAsia" w:ascii="仿宋_GB2312" w:eastAsia="仿宋_GB2312" w:cs="仿宋_GB2312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2023-05-09T02:57:00Z</dcterms:created>
  <dc:creator>Administrator</dc:creator>
  <cp:lastModifiedBy>Administrator</cp:lastModifiedBy>
  <dcterms:modified xsi:type="dcterms:W3CDTF">2023-05-09T02:58:01Z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