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0549" w:type="dxa"/>
        <w:jc w:val="center"/>
        <w:tblInd w:w="-1181" w:type="dxa"/>
        <w:shd w:val="clear"/>
        <w:tblLayout w:type="fixed"/>
        <w:tblCellMar>
          <w:top w:w="0" w:type="dxa"/>
          <w:left w:w="0" w:type="dxa"/>
          <w:bottom w:w="0" w:type="dxa"/>
          <w:right w:w="0" w:type="dxa"/>
        </w:tblCellMar>
      </w:tblPr>
      <w:tblGrid>
        <w:gridCol w:w="1286"/>
        <w:gridCol w:w="2073"/>
        <w:gridCol w:w="464"/>
        <w:gridCol w:w="2168"/>
        <w:gridCol w:w="941"/>
        <w:gridCol w:w="2512"/>
        <w:gridCol w:w="1105"/>
      </w:tblGrid>
      <w:tr>
        <w:tblPrEx>
          <w:shd w:val="clear"/>
          <w:tblLayout w:type="fixed"/>
          <w:tblCellMar>
            <w:top w:w="0" w:type="dxa"/>
            <w:left w:w="0" w:type="dxa"/>
            <w:bottom w:w="0" w:type="dxa"/>
            <w:right w:w="0" w:type="dxa"/>
          </w:tblCellMar>
        </w:tblPrEx>
        <w:trPr>
          <w:trHeight w:val="718" w:hRule="atLeast"/>
          <w:jc w:val="center"/>
        </w:trPr>
        <w:tc>
          <w:tcPr>
            <w:tcW w:w="10549" w:type="dxa"/>
            <w:gridSpan w:val="7"/>
            <w:tcBorders>
              <w:top w:val="nil"/>
              <w:left w:val="nil"/>
              <w:bottom w:val="single" w:color="auto" w:sz="4" w:space="0"/>
              <w:right w:val="nil"/>
            </w:tcBorders>
            <w:shd w:val="clear"/>
            <w:tcMar>
              <w:top w:w="15" w:type="dxa"/>
              <w:left w:w="15" w:type="dxa"/>
              <w:right w:w="15" w:type="dxa"/>
            </w:tcMar>
            <w:vAlign w:val="bottom"/>
          </w:tcPr>
          <w:p>
            <w:pPr>
              <w:keepNext w:val="0"/>
              <w:keepLines w:val="0"/>
              <w:widowControl/>
              <w:suppressLineNumbers w:val="0"/>
              <w:jc w:val="center"/>
              <w:textAlignment w:val="bottom"/>
              <w:rPr>
                <w:rFonts w:ascii="方正小标宋简体" w:hAnsi="方正小标宋简体" w:eastAsia="方正小标宋简体" w:cs="方正小标宋简体"/>
                <w:b/>
                <w:i w:val="0"/>
                <w:color w:val="000000"/>
                <w:sz w:val="40"/>
                <w:szCs w:val="40"/>
                <w:u w:val="none"/>
              </w:rPr>
            </w:pPr>
            <w:r>
              <w:rPr>
                <w:rFonts w:hint="default" w:ascii="方正小标宋简体" w:hAnsi="方正小标宋简体" w:eastAsia="方正小标宋简体" w:cs="方正小标宋简体"/>
                <w:b/>
                <w:i w:val="0"/>
                <w:color w:val="000000"/>
                <w:kern w:val="0"/>
                <w:sz w:val="40"/>
                <w:szCs w:val="40"/>
                <w:u w:val="none"/>
                <w:bdr w:val="none" w:color="auto" w:sz="0" w:space="0"/>
                <w:lang w:val="en-US" w:eastAsia="zh-CN" w:bidi="ar"/>
              </w:rPr>
              <w:t>医疗设备技术需求确认表</w:t>
            </w:r>
          </w:p>
        </w:tc>
      </w:tr>
      <w:tr>
        <w:tblPrEx>
          <w:tblLayout w:type="fixed"/>
          <w:tblCellMar>
            <w:top w:w="0" w:type="dxa"/>
            <w:left w:w="0" w:type="dxa"/>
            <w:bottom w:w="0" w:type="dxa"/>
            <w:right w:w="0" w:type="dxa"/>
          </w:tblCellMar>
        </w:tblPrEx>
        <w:trPr>
          <w:trHeight w:val="748"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bdr w:val="none" w:color="auto" w:sz="0" w:space="0"/>
                <w:lang w:val="en-US" w:eastAsia="zh-CN" w:bidi="ar"/>
              </w:rPr>
              <w:t>设备名称</w:t>
            </w:r>
          </w:p>
        </w:tc>
        <w:tc>
          <w:tcPr>
            <w:tcW w:w="2537" w:type="dxa"/>
            <w:gridSpan w:val="2"/>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一拖八输注系统</w:t>
            </w:r>
          </w:p>
        </w:tc>
        <w:tc>
          <w:tcPr>
            <w:tcW w:w="2168"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bdr w:val="none" w:color="auto" w:sz="0" w:space="0"/>
                <w:lang w:val="en-US" w:eastAsia="zh-CN" w:bidi="ar"/>
              </w:rPr>
              <w:t>总数量（台/套）</w:t>
            </w:r>
          </w:p>
        </w:tc>
        <w:tc>
          <w:tcPr>
            <w:tcW w:w="941"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黑体" w:hAnsi="等线" w:eastAsia="黑体" w:cs="黑体"/>
                <w:i w:val="0"/>
                <w:color w:val="000000"/>
                <w:sz w:val="24"/>
                <w:szCs w:val="24"/>
                <w:u w:val="none"/>
                <w:lang w:val="en-US"/>
              </w:rPr>
            </w:pPr>
            <w:r>
              <w:rPr>
                <w:rFonts w:hint="eastAsia" w:ascii="黑体" w:hAnsi="等线" w:eastAsia="黑体" w:cs="黑体"/>
                <w:i w:val="0"/>
                <w:color w:val="000000"/>
                <w:kern w:val="0"/>
                <w:sz w:val="24"/>
                <w:szCs w:val="24"/>
                <w:u w:val="none"/>
                <w:bdr w:val="none" w:color="auto" w:sz="0" w:space="0"/>
                <w:lang w:val="en-US" w:eastAsia="zh-CN" w:bidi="ar"/>
              </w:rPr>
              <w:t>15</w:t>
            </w:r>
          </w:p>
        </w:tc>
        <w:tc>
          <w:tcPr>
            <w:tcW w:w="2512"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等线" w:eastAsia="黑体" w:cs="黑体"/>
                <w:i w:val="0"/>
                <w:color w:val="000000"/>
                <w:sz w:val="24"/>
                <w:szCs w:val="24"/>
                <w:u w:val="none"/>
              </w:rPr>
            </w:pPr>
            <w:r>
              <w:rPr>
                <w:rFonts w:hint="eastAsia" w:ascii="黑体" w:hAnsi="等线" w:eastAsia="黑体" w:cs="黑体"/>
                <w:i w:val="0"/>
                <w:color w:val="000000"/>
                <w:kern w:val="0"/>
                <w:sz w:val="24"/>
                <w:szCs w:val="24"/>
                <w:u w:val="none"/>
                <w:bdr w:val="none" w:color="auto" w:sz="0" w:space="0"/>
                <w:lang w:val="en-US" w:eastAsia="zh-CN" w:bidi="ar"/>
              </w:rPr>
              <w:t>预算总金额（万元）</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黑体" w:hAnsi="等线" w:eastAsia="黑体" w:cs="黑体"/>
                <w:i w:val="0"/>
                <w:color w:val="000000"/>
                <w:sz w:val="24"/>
                <w:szCs w:val="24"/>
                <w:u w:val="none"/>
                <w:lang w:val="en-US"/>
              </w:rPr>
            </w:pPr>
            <w:r>
              <w:rPr>
                <w:rFonts w:hint="eastAsia" w:ascii="黑体" w:hAnsi="等线" w:eastAsia="黑体" w:cs="黑体"/>
                <w:i w:val="0"/>
                <w:color w:val="000000"/>
                <w:kern w:val="0"/>
                <w:sz w:val="24"/>
                <w:szCs w:val="24"/>
                <w:u w:val="none"/>
                <w:bdr w:val="none" w:color="auto" w:sz="0" w:space="0"/>
                <w:lang w:val="en-US" w:eastAsia="zh-CN" w:bidi="ar"/>
              </w:rPr>
              <w:t>150</w:t>
            </w:r>
          </w:p>
        </w:tc>
      </w:tr>
      <w:tr>
        <w:tblPrEx>
          <w:tblLayout w:type="fixed"/>
          <w:tblCellMar>
            <w:top w:w="0" w:type="dxa"/>
            <w:left w:w="0" w:type="dxa"/>
            <w:bottom w:w="0" w:type="dxa"/>
            <w:right w:w="0" w:type="dxa"/>
          </w:tblCellMar>
        </w:tblPrEx>
        <w:trPr>
          <w:trHeight w:val="762"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bdr w:val="none" w:color="auto" w:sz="0" w:space="0"/>
                <w:lang w:val="en-US" w:eastAsia="zh-CN" w:bidi="ar"/>
              </w:rPr>
              <w:t>序号</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bdr w:val="none" w:color="auto" w:sz="0" w:space="0"/>
                <w:lang w:val="en-US" w:eastAsia="zh-CN" w:bidi="ar"/>
              </w:rPr>
              <w:t>技术和性能参数名称</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bdr w:val="none" w:color="auto" w:sz="0" w:space="0"/>
                <w:lang w:val="en-US" w:eastAsia="zh-CN" w:bidi="ar"/>
              </w:rPr>
              <w:t>招标参数和性能要求</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bdr w:val="none" w:color="auto" w:sz="0" w:space="0"/>
                <w:lang w:val="en-US" w:eastAsia="zh-CN" w:bidi="ar"/>
              </w:rPr>
              <w:t>备注</w:t>
            </w: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基本要求</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适用于重症患者的精确计量液体输注</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资质认证</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具备CFDA和（FDA或CE）认证</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技术和性能参数</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输液信息采集系统</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bookmarkStart w:id="0" w:name="_GoBack"/>
            <w:bookmarkEnd w:id="0"/>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*3.1.1</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输注比例</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输液泵1台，注射泵7台。输液泵、注射泵与泵站单独报价。</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3.1.2</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级联功能</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多通道输液工作站可以实现</w:t>
            </w:r>
            <w:r>
              <w:rPr>
                <w:rStyle w:val="4"/>
                <w:rFonts w:ascii="宋体" w:hAnsi="宋体" w:eastAsia="宋体" w:cs="宋体"/>
                <w:sz w:val="24"/>
                <w:szCs w:val="24"/>
                <w:bdr w:val="none" w:color="auto" w:sz="0" w:space="0"/>
                <w:lang w:val="en-US" w:eastAsia="zh-CN" w:bidi="ar"/>
              </w:rPr>
              <w:t>≥</w:t>
            </w:r>
            <w:r>
              <w:rPr>
                <w:rStyle w:val="5"/>
                <w:bdr w:val="none" w:color="auto" w:sz="0" w:space="0"/>
                <w:lang w:val="en-US" w:eastAsia="zh-CN" w:bidi="ar"/>
              </w:rPr>
              <w:t>2个任意输注泵模块之间具备中继功能，并且可以2个泵之间进行循环级联输液，能够无缝连接输液。</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3.1.3</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数据管理</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修改工作站内任意一个单泵的病人信息、音量设置、显示设置等，工作站及其他泵内信息无需其他操作即刻呗同步修改</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3.1.4</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输注泵拔插</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无需工具即可进行输液泵、注射泵的拔插与组合；输注泵插拔不影响输注工作站和其他输注泵的运行，并能够被工作站识别</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·3.1.5</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信息化互联</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可通过有线网络直接接入监护仪中央站，实现监护仪和输注泵信息同屏查看</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注射泵</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3.2.1</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流速范围</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（0.01-2300）ml/h, 最小步进0.01ml/h</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3.2.2</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注射精度</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最大允许误差≤±1.8%</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3.2.3</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累积量统计</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24h累计量、最近累计量、自定义时间段累计量</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*3.2.4</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显示屏</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≥3.5英寸彩色显示屏</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·3.2.5</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阻塞处理</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具备阻塞后自动重启输液功能，短暂性阻塞触发报警后，泵检测到阻塞压力缓解时，无需人为干预，泵自动重新启动输液</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3.2.6</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电池工作时间</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≥5小时@5ml/h</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·3.2.7</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转运精准度</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满足</w:t>
            </w:r>
            <w:r>
              <w:rPr>
                <w:rStyle w:val="6"/>
                <w:rFonts w:eastAsia="宋体"/>
                <w:bdr w:val="none" w:color="auto" w:sz="0" w:space="0"/>
                <w:lang w:val="en-US" w:eastAsia="zh-CN" w:bidi="ar"/>
              </w:rPr>
              <w:t>EN1789</w:t>
            </w:r>
            <w:r>
              <w:rPr>
                <w:rStyle w:val="5"/>
                <w:bdr w:val="none" w:color="auto" w:sz="0" w:space="0"/>
                <w:lang w:val="en-US" w:eastAsia="zh-CN" w:bidi="ar"/>
              </w:rPr>
              <w:t>标准，适合在救护车使用，需提供证明</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3.2.8</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使用多种规格注射器</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1ml、2ml、3ml、5ml、10ml、20ml、30ml、50/60ml</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·3.2.9</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压力报警阈值</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≥13挡可调节</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输液泵</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left"/>
              <w:rPr>
                <w:rFonts w:hint="eastAsia" w:ascii="Microsoft YaHei" w:hAnsi="Microsoft YaHei" w:eastAsia="Microsoft YaHei" w:cs="Microsoft YaHei"/>
                <w:i w:val="0"/>
                <w:color w:val="000000"/>
                <w:sz w:val="22"/>
                <w:szCs w:val="22"/>
                <w:u w:val="none"/>
              </w:rPr>
            </w:pP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·3.3.1</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流量范围</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（0.1-2300）ml/h</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3.3.2</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输液精度</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最大允许误差≤±5%</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3.3.3</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累计统计量</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24h累计量、最近累计量、自定义时间段累计量</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*3.3.4</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屏幕大小</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≥3.5英寸彩色显示屏</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*3.3.5</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压力报警最小阈值</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w:t>
            </w:r>
            <w:r>
              <w:rPr>
                <w:rStyle w:val="6"/>
                <w:rFonts w:eastAsia="宋体"/>
                <w:bdr w:val="none" w:color="auto" w:sz="0" w:space="0"/>
                <w:lang w:val="en-US" w:eastAsia="zh-CN" w:bidi="ar"/>
              </w:rPr>
              <w:t>75mmHg</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·3.3.6</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输血功能</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具备输血功能</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·3.3.7</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输营养功能</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具备肠内营养功能</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·3.3.8</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阻塞处理</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具备阻塞后自动重启输液功能，短暂性阻塞触发报警后，泵检测到阻塞压力缓解时，无需人为干预，泵自动重新启动输液</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·3.3.9</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双超声气泡检测</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具备</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3.3.10</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电池工作时间</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≥5小时@25ml/h</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·3.3.11</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空瓶报警</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无需滴数传感器，泵可自动识别空瓶状态并报警</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·3.3.12</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转运精准度</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满足</w:t>
            </w:r>
            <w:r>
              <w:rPr>
                <w:rStyle w:val="6"/>
                <w:rFonts w:eastAsia="宋体"/>
                <w:bdr w:val="none" w:color="auto" w:sz="0" w:space="0"/>
                <w:lang w:val="en-US" w:eastAsia="zh-CN" w:bidi="ar"/>
              </w:rPr>
              <w:t>EN1789</w:t>
            </w:r>
            <w:r>
              <w:rPr>
                <w:rStyle w:val="5"/>
                <w:bdr w:val="none" w:color="auto" w:sz="0" w:space="0"/>
                <w:lang w:val="en-US" w:eastAsia="zh-CN" w:bidi="ar"/>
              </w:rPr>
              <w:t>标准，适合在救护车使用，需提供证明</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3.4</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设备不良事件情况</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厂家自报设备近三年不良事件</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配置需求（每台套）</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八通道输液工作站1台;输液泵1台;注射泵7台;专用台车或支架1套。</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物联网支持功能</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5.1</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联网要求</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设备具备物联功能，能够通过有线或无线的方式联网。数据内容包括设备运行转台和关键系统参数</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5.2</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技术文件</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设备厂商向院方提供详细的油管接口像是和数据传输协议的说明文档，并配合院方解决设备联网相关问题。</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售后条款</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6.1</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原厂保修年限</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≥3年，保修期内开机率不低于95%（按365日/年计算，含节假日)，未达到要求的开机率天数，按双倍天数顺延保修期。</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6.2</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预防性维修</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保修期内按维修手册要求提供定期维护保养服务</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6.3</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维修响应时间</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维修到达现场时间≤0.5个工作日（京内）</w:t>
            </w:r>
            <w:r>
              <w:rPr>
                <w:rFonts w:hint="eastAsia" w:ascii="宋体" w:hAnsi="宋体" w:eastAsia="宋体" w:cs="宋体"/>
                <w:i w:val="0"/>
                <w:color w:val="000000"/>
                <w:kern w:val="0"/>
                <w:sz w:val="22"/>
                <w:szCs w:val="22"/>
                <w:u w:val="none"/>
                <w:bdr w:val="none" w:color="auto" w:sz="0" w:space="0"/>
                <w:lang w:val="en-US" w:eastAsia="zh-CN" w:bidi="ar"/>
              </w:rPr>
              <w:br w:type="textWrapping"/>
            </w:r>
            <w:r>
              <w:rPr>
                <w:rFonts w:hint="eastAsia" w:ascii="宋体" w:hAnsi="宋体" w:eastAsia="宋体" w:cs="宋体"/>
                <w:i w:val="0"/>
                <w:color w:val="000000"/>
                <w:kern w:val="0"/>
                <w:sz w:val="22"/>
                <w:szCs w:val="22"/>
                <w:u w:val="none"/>
                <w:bdr w:val="none" w:color="auto" w:sz="0" w:space="0"/>
                <w:lang w:val="en-US" w:eastAsia="zh-CN" w:bidi="ar"/>
              </w:rPr>
              <w:t>维修到达现场时间≤3个工作日（京外）</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6.4</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配件报价</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提供消耗性配件（年平均更换大于1次的配件）和高值配件（价格大于设备成交价5%以上）的报价清单，且高值配件报价之和不得高于设备成交价的110%</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6.5</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升级与软件维护</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保修期内免费升级和软件维护；保修期外，原软件维护仅收工时费</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6.6</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维修工时费计算方法及价格</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至少提供按小时计费和按故障点计费两种方式，用户可自行选择</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6.7</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专用工具、资料及其它</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提供设备配套的维修专用工具（如有），资料（操作手册、维修手册等）</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6.8</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培训</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提供使用培训和工程师原厂培训</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286"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6.9</w:t>
            </w:r>
          </w:p>
        </w:tc>
        <w:tc>
          <w:tcPr>
            <w:tcW w:w="2073"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交货期</w:t>
            </w:r>
          </w:p>
        </w:tc>
        <w:tc>
          <w:tcPr>
            <w:tcW w:w="6085" w:type="dxa"/>
            <w:gridSpan w:val="4"/>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合同签订后 3个月内交货</w:t>
            </w:r>
          </w:p>
        </w:tc>
        <w:tc>
          <w:tcPr>
            <w:tcW w:w="1105" w:type="dxa"/>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549" w:type="dxa"/>
            <w:gridSpan w:val="7"/>
            <w:tcBorders>
              <w:top w:val="single" w:color="auto" w:sz="4" w:space="0"/>
              <w:left w:val="single" w:color="auto" w:sz="4" w:space="0"/>
              <w:bottom w:val="single" w:color="auto" w:sz="4" w:space="0"/>
              <w:right w:val="single" w:color="auto"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备注：</w:t>
            </w:r>
            <w:r>
              <w:rPr>
                <w:rStyle w:val="8"/>
                <w:rFonts w:eastAsia="宋体"/>
                <w:bdr w:val="none" w:color="auto" w:sz="0" w:space="0"/>
                <w:lang w:val="en-US" w:eastAsia="zh-CN" w:bidi="ar"/>
              </w:rPr>
              <w:t xml:space="preserve">1. </w:t>
            </w:r>
            <w:r>
              <w:rPr>
                <w:rStyle w:val="7"/>
                <w:bdr w:val="none" w:color="auto" w:sz="0" w:space="0"/>
                <w:lang w:val="en-US" w:eastAsia="zh-CN" w:bidi="ar"/>
              </w:rPr>
              <w:t>加注“*”号的技术指标为关键指标，≥1项未达到招标文件要求，即做废标处理。</w:t>
            </w:r>
            <w:r>
              <w:rPr>
                <w:rStyle w:val="7"/>
                <w:bdr w:val="none" w:color="auto" w:sz="0" w:space="0"/>
                <w:lang w:val="en-US" w:eastAsia="zh-CN" w:bidi="ar"/>
              </w:rPr>
              <w:br w:type="textWrapping"/>
            </w:r>
            <w:r>
              <w:rPr>
                <w:rStyle w:val="5"/>
                <w:bdr w:val="none" w:color="auto" w:sz="0" w:space="0"/>
                <w:lang w:val="en-US" w:eastAsia="zh-CN" w:bidi="ar"/>
              </w:rPr>
              <w:t xml:space="preserve">      2.加注“·”号的技术指标为重要指标。</w:t>
            </w:r>
            <w:r>
              <w:rPr>
                <w:rStyle w:val="5"/>
                <w:bdr w:val="none" w:color="auto" w:sz="0" w:space="0"/>
                <w:lang w:val="en-US" w:eastAsia="zh-CN" w:bidi="ar"/>
              </w:rPr>
              <w:br w:type="textWrapping"/>
            </w:r>
            <w:r>
              <w:rPr>
                <w:rStyle w:val="5"/>
                <w:bdr w:val="none" w:color="auto" w:sz="0" w:space="0"/>
                <w:lang w:val="en-US" w:eastAsia="zh-CN" w:bidi="ar"/>
              </w:rPr>
              <w:t xml:space="preserve">      3.加注“*”、“·”号的技术指标均需投标企业提供证明材料。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auto"/>
    <w:pitch w:val="default"/>
    <w:sig w:usb0="61007A87" w:usb1="80000000" w:usb2="00000008" w:usb3="00000000" w:csb0="200101FF" w:csb1="20280000"/>
  </w:font>
  <w:font w:name="方正小标宋简体">
    <w:altName w:val="宋体-方正超大字符集"/>
    <w:panose1 w:val="00000000000000000000"/>
    <w:charset w:val="00"/>
    <w:family w:val="auto"/>
    <w:pitch w:val="default"/>
    <w:sig w:usb0="00000000" w:usb1="00000000" w:usb2="00000000" w:usb3="00000000" w:csb0="00000000" w:csb1="00000000"/>
  </w:font>
  <w:font w:name="宋体-方正超大字符集">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w:altName w:val="Latha"/>
    <w:panose1 w:val="00000000000000000000"/>
    <w:charset w:val="00"/>
    <w:family w:val="auto"/>
    <w:pitch w:val="default"/>
    <w:sig w:usb0="00000000" w:usb1="00000000" w:usb2="00000000" w:usb3="00000000" w:csb0="00000000" w:csb1="00000000"/>
  </w:font>
  <w:font w:name="幼圆">
    <w:panose1 w:val="0201050906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Microsoft YaHei">
    <w:altName w:val="Latha"/>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Latha">
    <w:panose1 w:val="02000400000000000000"/>
    <w:charset w:val="00"/>
    <w:family w:val="auto"/>
    <w:pitch w:val="default"/>
    <w:sig w:usb0="001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577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122"/>
    <w:basedOn w:val="3"/>
    <w:uiPriority w:val="0"/>
    <w:rPr>
      <w:rFonts w:ascii="Arial" w:hAnsi="Arial" w:cs="Arial"/>
      <w:color w:val="000000"/>
      <w:sz w:val="22"/>
      <w:szCs w:val="22"/>
      <w:u w:val="none"/>
    </w:rPr>
  </w:style>
  <w:style w:type="character" w:customStyle="1" w:styleId="5">
    <w:name w:val="font131"/>
    <w:basedOn w:val="3"/>
    <w:uiPriority w:val="0"/>
    <w:rPr>
      <w:rFonts w:hint="eastAsia" w:ascii="宋体" w:hAnsi="宋体" w:eastAsia="宋体" w:cs="宋体"/>
      <w:color w:val="000000"/>
      <w:sz w:val="22"/>
      <w:szCs w:val="22"/>
      <w:u w:val="none"/>
    </w:rPr>
  </w:style>
  <w:style w:type="character" w:customStyle="1" w:styleId="6">
    <w:name w:val="font141"/>
    <w:basedOn w:val="3"/>
    <w:uiPriority w:val="0"/>
    <w:rPr>
      <w:rFonts w:ascii="Calibri" w:hAnsi="Calibri" w:cs="Calibri"/>
      <w:color w:val="000000"/>
      <w:sz w:val="22"/>
      <w:szCs w:val="22"/>
      <w:u w:val="none"/>
    </w:rPr>
  </w:style>
  <w:style w:type="character" w:customStyle="1" w:styleId="7">
    <w:name w:val="font71"/>
    <w:basedOn w:val="3"/>
    <w:uiPriority w:val="0"/>
    <w:rPr>
      <w:rFonts w:hint="eastAsia" w:ascii="宋体" w:hAnsi="宋体" w:eastAsia="宋体" w:cs="宋体"/>
      <w:color w:val="000000"/>
      <w:sz w:val="22"/>
      <w:szCs w:val="22"/>
      <w:u w:val="none"/>
    </w:rPr>
  </w:style>
  <w:style w:type="character" w:customStyle="1" w:styleId="8">
    <w:name w:val="font151"/>
    <w:basedOn w:val="3"/>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2023-04-21T07:06:56Z</dcterms:created>
  <dc:creator>doctor</dc:creator>
  <cp:lastModifiedBy>doctor</cp:lastModifiedBy>
  <dcterms:modified xsi:type="dcterms:W3CDTF">2023-04-21T07:11:43Z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