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after="120" w:afterLines="50" w:line="560" w:lineRule="exact"/>
        <w:jc w:val="center"/>
        <w:rPr>
          <w:b w:val="0"/>
          <w:color w:val="auto"/>
          <w:szCs w:val="44"/>
          <w:highlight w:val="none"/>
          <w:lang w:val="zh-CN"/>
        </w:rPr>
      </w:pPr>
      <w:r>
        <w:rPr>
          <w:rFonts w:hint="eastAsia"/>
          <w:b w:val="0"/>
          <w:color w:val="auto"/>
          <w:szCs w:val="44"/>
          <w:highlight w:val="none"/>
          <w:lang w:val="zh-CN"/>
        </w:rPr>
        <w:t>采购项目商务和技术要求</w:t>
      </w:r>
      <w:bookmarkStart w:id="0" w:name="_GoBack"/>
      <w:bookmarkEnd w:id="0"/>
    </w:p>
    <w:tbl>
      <w:tblPr>
        <w:tblStyle w:val="4"/>
        <w:tblW w:w="9195" w:type="dxa"/>
        <w:tblInd w:w="0" w:type="dxa"/>
        <w:shd w:val="clear" w:color="auto" w:fill="auto"/>
        <w:tblLayout w:type="autofit"/>
        <w:tblCellMar>
          <w:top w:w="0" w:type="dxa"/>
          <w:left w:w="0" w:type="dxa"/>
          <w:bottom w:w="0" w:type="dxa"/>
          <w:right w:w="0" w:type="dxa"/>
        </w:tblCellMar>
      </w:tblPr>
      <w:tblGrid>
        <w:gridCol w:w="724"/>
        <w:gridCol w:w="1096"/>
        <w:gridCol w:w="1420"/>
        <w:gridCol w:w="5955"/>
      </w:tblGrid>
      <w:tr>
        <w:tblPrEx>
          <w:shd w:val="clear" w:color="auto" w:fill="auto"/>
          <w:tblCellMar>
            <w:top w:w="0" w:type="dxa"/>
            <w:left w:w="0" w:type="dxa"/>
            <w:bottom w:w="0" w:type="dxa"/>
            <w:right w:w="0" w:type="dxa"/>
          </w:tblCellMar>
        </w:tblPrEx>
        <w:trPr>
          <w:trHeight w:val="623"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r>
      <w:tr>
        <w:tblPrEx>
          <w:shd w:val="clear" w:color="auto" w:fill="auto"/>
          <w:tblCellMar>
            <w:top w:w="0" w:type="dxa"/>
            <w:left w:w="0" w:type="dxa"/>
            <w:bottom w:w="0" w:type="dxa"/>
            <w:right w:w="0" w:type="dxa"/>
          </w:tblCellMar>
        </w:tblPrEx>
        <w:trPr>
          <w:trHeight w:val="2783" w:hRule="atLeast"/>
        </w:trPr>
        <w:tc>
          <w:tcPr>
            <w:tcW w:w="72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sz w:val="22"/>
                <w:szCs w:val="22"/>
                <w:u w:val="none"/>
                <w:lang w:val="en-US" w:eastAsia="zh-CN"/>
              </w:rPr>
              <w:t>(</w:t>
            </w:r>
            <w:r>
              <w:rPr>
                <w:rFonts w:hint="eastAsia" w:ascii="宋体" w:hAnsi="宋体" w:cs="宋体"/>
                <w:b/>
                <w:bCs/>
                <w:i w:val="0"/>
                <w:color w:val="000000"/>
                <w:sz w:val="22"/>
                <w:szCs w:val="22"/>
                <w:u w:val="none"/>
                <w:lang w:val="en-US" w:eastAsia="zh-CN"/>
              </w:rPr>
              <w:t>此项</w:t>
            </w:r>
            <w:r>
              <w:rPr>
                <w:rFonts w:hint="eastAsia" w:ascii="宋体" w:hAnsi="宋体" w:eastAsia="宋体" w:cs="宋体"/>
                <w:b/>
                <w:bCs/>
                <w:i w:val="0"/>
                <w:color w:val="000000"/>
                <w:sz w:val="22"/>
                <w:szCs w:val="22"/>
                <w:u w:val="none"/>
                <w:lang w:val="en-US" w:eastAsia="zh-CN"/>
              </w:rPr>
              <w:t>均为实质性响应条款，不接受负偏离）</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基本要求</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 xml:space="preserve">   现有服务器，存储、各类设备800台，交换机700台，须实现实时主动获取设备报警信息，包括设备的各个部件，但不限于CPU、内存、阵列卡、硬盘、电源、风扇、网卡、功耗、电流、电压、温度、插槽等运行状态的监测和管理能力。</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1、国产品牌，自主研发；</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2、信息设备运维监控系统1套，可管理≥1500台件设备；</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3、国产品牌,机架式服务器3台、自带原厂导轨、电源线C13转C14；</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4、智慧大屏≥85寸，1台；</w:t>
            </w:r>
          </w:p>
        </w:tc>
      </w:tr>
      <w:tr>
        <w:tblPrEx>
          <w:shd w:val="clear" w:color="auto" w:fill="auto"/>
          <w:tblCellMar>
            <w:top w:w="0" w:type="dxa"/>
            <w:left w:w="0" w:type="dxa"/>
            <w:bottom w:w="0" w:type="dxa"/>
            <w:right w:w="0" w:type="dxa"/>
          </w:tblCellMar>
        </w:tblPrEx>
        <w:trPr>
          <w:trHeight w:val="683" w:hRule="atLeast"/>
        </w:trPr>
        <w:tc>
          <w:tcPr>
            <w:tcW w:w="72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配置要求</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详见2性能指标                                      </w:t>
            </w:r>
          </w:p>
        </w:tc>
      </w:tr>
      <w:tr>
        <w:tblPrEx>
          <w:shd w:val="clear" w:color="auto" w:fill="auto"/>
          <w:tblCellMar>
            <w:top w:w="0" w:type="dxa"/>
            <w:left w:w="0" w:type="dxa"/>
            <w:bottom w:w="0" w:type="dxa"/>
            <w:right w:w="0" w:type="dxa"/>
          </w:tblCellMar>
        </w:tblPrEx>
        <w:trPr>
          <w:trHeight w:val="750" w:hRule="atLeast"/>
        </w:trPr>
        <w:tc>
          <w:tcPr>
            <w:tcW w:w="72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产品资格</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产品具备国家级测试机构出具的测试报告。</w:t>
            </w:r>
          </w:p>
        </w:tc>
      </w:tr>
      <w:tr>
        <w:tblPrEx>
          <w:shd w:val="clear" w:color="auto" w:fill="auto"/>
          <w:tblCellMar>
            <w:top w:w="0" w:type="dxa"/>
            <w:left w:w="0" w:type="dxa"/>
            <w:bottom w:w="0" w:type="dxa"/>
            <w:right w:w="0" w:type="dxa"/>
          </w:tblCellMar>
        </w:tblPrEx>
        <w:trPr>
          <w:trHeight w:val="885" w:hRule="atLeast"/>
        </w:trPr>
        <w:tc>
          <w:tcPr>
            <w:tcW w:w="72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企业资格</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符合《中华人民共和国政府采购法》第22条资格；</w:t>
            </w:r>
          </w:p>
        </w:tc>
      </w:tr>
      <w:tr>
        <w:tblPrEx>
          <w:shd w:val="clear" w:color="auto" w:fill="auto"/>
          <w:tblCellMar>
            <w:top w:w="0" w:type="dxa"/>
            <w:left w:w="0" w:type="dxa"/>
            <w:bottom w:w="0" w:type="dxa"/>
            <w:right w:w="0" w:type="dxa"/>
          </w:tblCellMar>
        </w:tblPrEx>
        <w:trPr>
          <w:trHeight w:val="216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技术力量</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·1、投标方应具备数据中心带外管理系统用户案例2份合同（至少包含合同首页、清单页、签字页和证明合同内容的相关证明材料）；</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·2、投标企业应具备ISO9000系列质量管理体系证书；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3、投标企业应具备国家级高新技术企业证书；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4、软件厂商应具备自主知识产权，提供运维管理软件有关著作登记证书；</w:t>
            </w:r>
          </w:p>
        </w:tc>
      </w:tr>
      <w:tr>
        <w:tblPrEx>
          <w:shd w:val="clear" w:color="auto" w:fill="auto"/>
          <w:tblCellMar>
            <w:top w:w="0" w:type="dxa"/>
            <w:left w:w="0" w:type="dxa"/>
            <w:bottom w:w="0" w:type="dxa"/>
            <w:right w:w="0" w:type="dxa"/>
          </w:tblCellMar>
        </w:tblPrEx>
        <w:trPr>
          <w:trHeight w:val="7223" w:hRule="atLeast"/>
        </w:trPr>
        <w:tc>
          <w:tcPr>
            <w:tcW w:w="724" w:type="dxa"/>
            <w:vMerge w:val="restar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性能指标</w:t>
            </w:r>
          </w:p>
        </w:tc>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 信息设备运维监控系统</w:t>
            </w:r>
          </w:p>
        </w:tc>
        <w:tc>
          <w:tcPr>
            <w:tcW w:w="59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2.1.1监控管理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 xml:space="preserve"> 2.1.1.1设备监测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平台能够通过带外监控口，实时主动获取IT设备信息，支持IPMI/Redfish等协议的能力，可以实现实时主动获取设备报警信息，包括设备的各个部件，如CPU、内存、阵列卡、硬盘、电源、风扇、网卡、功耗、电流、电压、温度、插槽等的运行状态监测能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2)支持以下设备类型及品牌的监控（包含IPv4和IPv6地址的设备）：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1、X86服务器：支持IBM、HP、DELL、Lenovo、华为、浪潮、H3C等品牌；</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2、网络设备：支持Brocade、Cisco、华三、锐捷、F5等品牌；</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3、存储&amp;磁带库：支持IBM、HP、EMC、华为等品牌监测；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2.1.1.2系统奔溃截图</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支持系统崩溃时页面抓图与屏幕录像功能，辅助故障诊断，并保存最近3次宕机的截图，查看故障时间和导出图片保存。</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·2.1.1.3开关机记录</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支持统计服务器在一段时间内的开关机、重启信息。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·2.1.1.4 网络资源管理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查看网络设备的端口表、ARP表、FDB表、LLDP表、路由表信息、实时终端列表，能够通过录入IP地址段建立IP资源库，将端口状态、链路、所在设备等关联关系信息进行展示，同时能够将端口-MAC-IP三者进行关联绑定，当出现变更时能够进行告警提醒。</w:t>
            </w:r>
          </w:p>
        </w:tc>
      </w:tr>
      <w:tr>
        <w:tblPrEx>
          <w:shd w:val="clear" w:color="auto" w:fill="auto"/>
          <w:tblCellMar>
            <w:top w:w="0" w:type="dxa"/>
            <w:left w:w="0" w:type="dxa"/>
            <w:bottom w:w="0" w:type="dxa"/>
            <w:right w:w="0" w:type="dxa"/>
          </w:tblCellMar>
        </w:tblPrEx>
        <w:trPr>
          <w:trHeight w:val="3840" w:hRule="atLeast"/>
        </w:trPr>
        <w:tc>
          <w:tcPr>
            <w:tcW w:w="724"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5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r>
      <w:tr>
        <w:tblPrEx>
          <w:shd w:val="clear" w:color="auto" w:fill="auto"/>
          <w:tblCellMar>
            <w:top w:w="0" w:type="dxa"/>
            <w:left w:w="0" w:type="dxa"/>
            <w:bottom w:w="0" w:type="dxa"/>
            <w:right w:w="0" w:type="dxa"/>
          </w:tblCellMar>
        </w:tblPrEx>
        <w:trPr>
          <w:trHeight w:val="6318" w:hRule="atLeast"/>
        </w:trPr>
        <w:tc>
          <w:tcPr>
            <w:tcW w:w="724"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59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Style w:val="6"/>
                <w:lang w:val="en-US" w:eastAsia="zh-CN" w:bidi="ar"/>
              </w:rPr>
              <w:t>2.1.2 告警管理</w:t>
            </w:r>
            <w:r>
              <w:rPr>
                <w:rStyle w:val="6"/>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Style w:val="6"/>
                <w:lang w:val="en-US" w:eastAsia="zh-CN" w:bidi="ar"/>
              </w:rPr>
              <w:t>2.1.2.1预警功能：</w:t>
            </w:r>
            <w:r>
              <w:rPr>
                <w:rStyle w:val="6"/>
                <w:lang w:val="en-US" w:eastAsia="zh-CN" w:bidi="ar"/>
              </w:rPr>
              <w:br w:type="textWrapping"/>
            </w:r>
            <w:r>
              <w:rPr>
                <w:rStyle w:val="6"/>
                <w:lang w:val="en-US" w:eastAsia="zh-CN" w:bidi="ar"/>
              </w:rPr>
              <w:t>1、支持部件预警、能耗预警、空间预警等功能；</w:t>
            </w:r>
            <w:r>
              <w:rPr>
                <w:rStyle w:val="6"/>
                <w:lang w:val="en-US" w:eastAsia="zh-CN" w:bidi="ar"/>
              </w:rPr>
              <w:br w:type="textWrapping"/>
            </w:r>
            <w:r>
              <w:rPr>
                <w:rStyle w:val="6"/>
                <w:lang w:val="en-US" w:eastAsia="zh-CN" w:bidi="ar"/>
              </w:rPr>
              <w:t>2、支持部件预警指标，包含：设备厂商、磁盘预警、电源预警、内存预警、CPU预警、网卡预警等。</w:t>
            </w:r>
            <w:r>
              <w:rPr>
                <w:rStyle w:val="6"/>
                <w:lang w:val="en-US" w:eastAsia="zh-CN" w:bidi="ar"/>
              </w:rPr>
              <w:br w:type="textWrapping"/>
            </w:r>
            <w:r>
              <w:rPr>
                <w:rStyle w:val="6"/>
                <w:lang w:val="en-US" w:eastAsia="zh-CN" w:bidi="ar"/>
              </w:rPr>
              <w:t>·2.1.2.2 告警展现：</w:t>
            </w:r>
            <w:r>
              <w:rPr>
                <w:rStyle w:val="6"/>
                <w:lang w:val="en-US" w:eastAsia="zh-CN" w:bidi="ar"/>
              </w:rPr>
              <w:br w:type="textWrapping"/>
            </w:r>
            <w:r>
              <w:rPr>
                <w:rStyle w:val="6"/>
                <w:lang w:val="en-US" w:eastAsia="zh-CN" w:bidi="ar"/>
              </w:rPr>
              <w:t>支持监控告警功能：提供统一告警平台，以不同颜色表示不同类型的事件及严重程度。</w:t>
            </w:r>
            <w:r>
              <w:rPr>
                <w:rStyle w:val="6"/>
                <w:lang w:val="en-US" w:eastAsia="zh-CN" w:bidi="ar"/>
              </w:rPr>
              <w:br w:type="textWrapping"/>
            </w:r>
            <w:r>
              <w:rPr>
                <w:rStyle w:val="6"/>
                <w:lang w:val="en-US" w:eastAsia="zh-CN" w:bidi="ar"/>
              </w:rPr>
              <w:t>2.1.2.3通知规则：</w:t>
            </w:r>
            <w:r>
              <w:rPr>
                <w:rStyle w:val="6"/>
                <w:lang w:val="en-US" w:eastAsia="zh-CN" w:bidi="ar"/>
              </w:rPr>
              <w:br w:type="textWrapping"/>
            </w:r>
            <w:r>
              <w:rPr>
                <w:rStyle w:val="6"/>
                <w:lang w:val="en-US" w:eastAsia="zh-CN" w:bidi="ar"/>
              </w:rPr>
              <w:t>支持告警过滤、告警合并、告警压缩、告警升级等功能，并且可以对各设备设置差异化告警策略，对管理人员进行不同设备的告警订阅。</w:t>
            </w:r>
            <w:r>
              <w:rPr>
                <w:rStyle w:val="6"/>
                <w:lang w:val="en-US" w:eastAsia="zh-CN" w:bidi="ar"/>
              </w:rPr>
              <w:br w:type="textWrapping"/>
            </w:r>
            <w:r>
              <w:rPr>
                <w:rStyle w:val="6"/>
                <w:lang w:val="en-US" w:eastAsia="zh-CN" w:bidi="ar"/>
              </w:rPr>
              <w:t>2.1.2.4告警方式：</w:t>
            </w:r>
            <w:r>
              <w:rPr>
                <w:rStyle w:val="6"/>
                <w:lang w:val="en-US" w:eastAsia="zh-CN" w:bidi="ar"/>
              </w:rPr>
              <w:br w:type="textWrapping"/>
            </w:r>
            <w:r>
              <w:rPr>
                <w:rStyle w:val="6"/>
                <w:lang w:val="en-US" w:eastAsia="zh-CN" w:bidi="ar"/>
              </w:rPr>
              <w:t>支持短信、电话等告警方式。</w:t>
            </w:r>
            <w:r>
              <w:rPr>
                <w:rStyle w:val="6"/>
                <w:lang w:val="en-US" w:eastAsia="zh-CN" w:bidi="ar"/>
              </w:rPr>
              <w:br w:type="textWrapping"/>
            </w:r>
            <w:r>
              <w:rPr>
                <w:rStyle w:val="6"/>
                <w:lang w:val="en-US" w:eastAsia="zh-CN" w:bidi="ar"/>
              </w:rPr>
              <w:t>2.1.2.5日志分析：</w:t>
            </w:r>
            <w:r>
              <w:rPr>
                <w:rStyle w:val="6"/>
                <w:lang w:val="en-US" w:eastAsia="zh-CN" w:bidi="ar"/>
              </w:rPr>
              <w:br w:type="textWrapping"/>
            </w:r>
            <w:r>
              <w:rPr>
                <w:rStyle w:val="6"/>
                <w:lang w:val="en-US" w:eastAsia="zh-CN" w:bidi="ar"/>
              </w:rPr>
              <w:t>1、支持收集服务器设备和网络设备等硬件设备，系统自己生成的日志信息全部可以获取到；</w:t>
            </w:r>
            <w:r>
              <w:rPr>
                <w:rStyle w:val="6"/>
                <w:lang w:val="en-US" w:eastAsia="zh-CN" w:bidi="ar"/>
              </w:rPr>
              <w:br w:type="textWrapping"/>
            </w:r>
            <w:r>
              <w:rPr>
                <w:rStyle w:val="6"/>
                <w:lang w:val="en-US" w:eastAsia="zh-CN" w:bidi="ar"/>
              </w:rPr>
              <w:t>2、支持查看日志信息的详细页面，支持批量删除和下载；</w:t>
            </w:r>
            <w:r>
              <w:rPr>
                <w:rStyle w:val="6"/>
                <w:lang w:val="en-US" w:eastAsia="zh-CN" w:bidi="ar"/>
              </w:rPr>
              <w:br w:type="textWrapping"/>
            </w:r>
            <w:r>
              <w:rPr>
                <w:rStyle w:val="6"/>
                <w:lang w:val="en-US" w:eastAsia="zh-CN" w:bidi="ar"/>
              </w:rPr>
              <w:t>3、支持对</w:t>
            </w:r>
            <w:r>
              <w:rPr>
                <w:rStyle w:val="7"/>
                <w:lang w:val="en-US" w:eastAsia="zh-CN" w:bidi="ar"/>
              </w:rPr>
              <w:t>X86服务器</w:t>
            </w:r>
            <w:r>
              <w:rPr>
                <w:rStyle w:val="6"/>
                <w:lang w:val="en-US" w:eastAsia="zh-CN" w:bidi="ar"/>
              </w:rPr>
              <w:t>日志的分析，自动关联告警信息并给出故障处理建议。</w:t>
            </w:r>
          </w:p>
        </w:tc>
      </w:tr>
      <w:tr>
        <w:tblPrEx>
          <w:tblCellMar>
            <w:top w:w="0" w:type="dxa"/>
            <w:left w:w="0" w:type="dxa"/>
            <w:bottom w:w="0" w:type="dxa"/>
            <w:right w:w="0" w:type="dxa"/>
          </w:tblCellMar>
        </w:tblPrEx>
        <w:trPr>
          <w:trHeight w:val="7226" w:hRule="atLeast"/>
        </w:trPr>
        <w:tc>
          <w:tcPr>
            <w:tcW w:w="724"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5955" w:type="dxa"/>
            <w:tcBorders>
              <w:top w:val="nil"/>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2.1.3 资产管理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2.1.3.1 设备资产</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1、支持按照多种不同角度统计展现设备资产、备件等资产信息。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2、支持远程资产信息自动采集，包括（CPU、内存、磁盘、电源、风扇、阵列卡、网卡等），达到资产管理和配置信息自动更新的目的，提高设备信息维护的效率；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2.1.3.2 备件信息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1、支持对设备备件进行统一管理，支持单个或批量入库。支持库存备件进行模糊或精确查询。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2、支持保存入库和出库记录。</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2.1.3.3 保修管理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1、支持保修管理功能：支持实现对设备过保时间的提醒和信息管理功能。可根据已过保的设备、将过保的设备、正常设备等不同维度进行数据筛选和显示。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2、支持通过客户端及Web两种方式查询IBM、HP、Dell、华为、浪潮等服务器的过保时间。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3、支持手工批量导入设备维保信息。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2.1.3.4 变更管理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1、支持对设备的变更信息进行统一管理，包括：部件变更、位置变更、网络配置变更、信息变更、维保变更、序列号变更等。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2、支持模糊或多个条件组合精确搜索设备变更信息。</w:t>
            </w:r>
          </w:p>
        </w:tc>
      </w:tr>
      <w:tr>
        <w:tblPrEx>
          <w:tblCellMar>
            <w:top w:w="0" w:type="dxa"/>
            <w:left w:w="0" w:type="dxa"/>
            <w:bottom w:w="0" w:type="dxa"/>
            <w:right w:w="0" w:type="dxa"/>
          </w:tblCellMar>
        </w:tblPrEx>
        <w:trPr>
          <w:trHeight w:val="12009" w:hRule="atLeast"/>
        </w:trPr>
        <w:tc>
          <w:tcPr>
            <w:tcW w:w="724"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20"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5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Style w:val="6"/>
                <w:lang w:val="en-US" w:eastAsia="zh-CN" w:bidi="ar"/>
              </w:rPr>
            </w:pPr>
            <w:r>
              <w:rPr>
                <w:rFonts w:hint="eastAsia" w:ascii="宋体" w:hAnsi="宋体" w:eastAsia="宋体" w:cs="宋体"/>
                <w:b/>
                <w:bCs/>
                <w:i w:val="0"/>
                <w:color w:val="000000"/>
                <w:kern w:val="0"/>
                <w:sz w:val="24"/>
                <w:szCs w:val="24"/>
                <w:u w:val="none"/>
                <w:lang w:val="en-US" w:eastAsia="zh-CN" w:bidi="ar"/>
              </w:rPr>
              <w:t>*</w:t>
            </w:r>
            <w:r>
              <w:rPr>
                <w:rStyle w:val="6"/>
                <w:lang w:val="en-US" w:eastAsia="zh-CN" w:bidi="ar"/>
              </w:rPr>
              <w:t>2.1.3.5 RAID管理</w:t>
            </w:r>
            <w:r>
              <w:rPr>
                <w:rStyle w:val="6"/>
                <w:lang w:val="en-US" w:eastAsia="zh-CN" w:bidi="ar"/>
              </w:rPr>
              <w:br w:type="textWrapping"/>
            </w:r>
            <w:r>
              <w:rPr>
                <w:rStyle w:val="6"/>
                <w:lang w:val="en-US" w:eastAsia="zh-CN" w:bidi="ar"/>
              </w:rPr>
              <w:t>支持一键获取所有设备的RAID配置信息。清晰展示阵列卡、物理磁盘、逻辑磁盘的关系。</w:t>
            </w:r>
            <w:r>
              <w:rPr>
                <w:rStyle w:val="6"/>
                <w:lang w:val="en-US" w:eastAsia="zh-CN" w:bidi="ar"/>
              </w:rPr>
              <w:br w:type="textWrapping"/>
            </w:r>
            <w:r>
              <w:rPr>
                <w:rStyle w:val="6"/>
                <w:lang w:val="en-US" w:eastAsia="zh-CN" w:bidi="ar"/>
              </w:rPr>
              <w:t>2.1.4设备控制管理</w:t>
            </w:r>
            <w:r>
              <w:rPr>
                <w:rStyle w:val="6"/>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Style w:val="7"/>
                <w:lang w:val="en-US" w:eastAsia="zh-CN" w:bidi="ar"/>
              </w:rPr>
              <w:t>2.1.4.1 KVM远程控制</w:t>
            </w:r>
            <w:r>
              <w:rPr>
                <w:rStyle w:val="7"/>
                <w:lang w:val="en-US" w:eastAsia="zh-CN" w:bidi="ar"/>
              </w:rPr>
              <w:br w:type="textWrapping"/>
            </w:r>
            <w:r>
              <w:rPr>
                <w:rStyle w:val="7"/>
                <w:lang w:val="en-US" w:eastAsia="zh-CN" w:bidi="ar"/>
              </w:rPr>
              <w:t>1、远程KVM管理：提供多品牌设备统一vkvm管理界面，可实现跨品牌型号的批量远程管理，需支持单独或者批量对服务器进行远程开机、关机和重启操作控制；同时支持定时开关机功能；</w:t>
            </w:r>
            <w:r>
              <w:rPr>
                <w:rStyle w:val="7"/>
                <w:lang w:val="en-US" w:eastAsia="zh-CN" w:bidi="ar"/>
              </w:rPr>
              <w:br w:type="textWrapping"/>
            </w:r>
            <w:r>
              <w:rPr>
                <w:rStyle w:val="7"/>
                <w:lang w:val="en-US" w:eastAsia="zh-CN" w:bidi="ar"/>
              </w:rPr>
              <w:t>2、需支持vkvm功能操作的录屏和权限划分管理；</w:t>
            </w:r>
            <w:r>
              <w:rPr>
                <w:rStyle w:val="7"/>
                <w:lang w:val="en-US" w:eastAsia="zh-CN" w:bidi="ar"/>
              </w:rPr>
              <w:br w:type="textWrapping"/>
            </w:r>
            <w:r>
              <w:rPr>
                <w:rStyle w:val="7"/>
                <w:lang w:val="en-US" w:eastAsia="zh-CN" w:bidi="ar"/>
              </w:rPr>
              <w:t>3、支持Web和vKVM管理客户端两种访问模式。vKVM管理客户端具有一定的灾备功能，当系统Server端宕机时，vKVM管理客户端还可以独立运行；</w:t>
            </w:r>
            <w:r>
              <w:rPr>
                <w:rStyle w:val="7"/>
                <w:lang w:val="en-US" w:eastAsia="zh-CN" w:bidi="ar"/>
              </w:rPr>
              <w:br w:type="textWrapping"/>
            </w:r>
            <w:r>
              <w:rPr>
                <w:rStyle w:val="7"/>
                <w:lang w:val="en-US" w:eastAsia="zh-CN" w:bidi="ar"/>
              </w:rPr>
              <w:t>4、支持通过浏览器方式进行设备远程管理，不依赖于JAVA程序，无java或其他控件；</w:t>
            </w:r>
            <w:r>
              <w:rPr>
                <w:rStyle w:val="6"/>
                <w:lang w:val="en-US" w:eastAsia="zh-CN" w:bidi="ar"/>
              </w:rPr>
              <w:br w:type="textWrapping"/>
            </w:r>
            <w:r>
              <w:rPr>
                <w:rStyle w:val="6"/>
                <w:lang w:val="en-US" w:eastAsia="zh-CN" w:bidi="ar"/>
              </w:rPr>
              <w:t>2.1.4.2 带外管理</w:t>
            </w:r>
            <w:r>
              <w:rPr>
                <w:rStyle w:val="6"/>
                <w:lang w:val="en-US" w:eastAsia="zh-CN" w:bidi="ar"/>
              </w:rPr>
              <w:br w:type="textWrapping"/>
            </w:r>
            <w:r>
              <w:rPr>
                <w:rStyle w:val="6"/>
                <w:lang w:val="en-US" w:eastAsia="zh-CN" w:bidi="ar"/>
              </w:rPr>
              <w:t>1、支持通过系统批量或定期创建、修改带外用户名密码，可定时进行密码管理，可设置相同密码、固定长度的随机密码。无需通过单台登录带外管理界面进行操作。</w:t>
            </w:r>
          </w:p>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2、提供设备控制台，在设备控制台可进行NTP、DHCP、SNMP的开启关闭设置以及参数配置。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3、可进行BIOS设置模板，一键克隆设备BIOS配置参数。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4、可进行固件版本基线设定，细分带外固件版本管理、BIOS、UEFI固件版本、RAID卡、PCI卡、电源、网卡、磁盘的固件版本管理；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5、能够进行固件版本的定时更新、批量更新；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6、同时支持网络设备固件版本；</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7、可进行系统镜像的克隆、添加、删除等操作，并且可同步日志。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8、支持点亮/关闭服务器定位灯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9、支持下载服务器硬件故障日志，并可设置保存时间；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10、支持对设备检出一个临时用户（管理员、操作员、只读）和密码，可以设置在多久时间内有效可用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11、提供对BMC进行备份，备份文件可用于BMC恢复；</w:t>
            </w:r>
          </w:p>
        </w:tc>
      </w:tr>
      <w:tr>
        <w:tblPrEx>
          <w:tblCellMar>
            <w:top w:w="0" w:type="dxa"/>
            <w:left w:w="0" w:type="dxa"/>
            <w:bottom w:w="0" w:type="dxa"/>
            <w:right w:w="0" w:type="dxa"/>
          </w:tblCellMar>
        </w:tblPrEx>
        <w:trPr>
          <w:trHeight w:val="6367" w:hRule="atLeast"/>
        </w:trPr>
        <w:tc>
          <w:tcPr>
            <w:tcW w:w="724"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20"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5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2.1.4.3 配置备份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可对网络设备的配置进行备份设备信息，提供手动和自动备份两种形式，在设备配置变更后可进行告警通知。</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2.1.5 能耗管理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1、支持带外管理方式获取设备级能耗数据；统计低功耗和僵尸服务器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可视化展现各机房、机柜、设备、业务的高温设备列表、进出风口温度、当前功耗、当前电流、实时功率、空间使用情况（已用U数/剩余U数）、一定周期内能耗使用情况。并进行能耗超限告警、提前预警的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2.1.6 自动装机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2.1.6.1 批量部署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支持在系统一键下发操作系统实现批量自动化系统安装部署，无需人工干预。</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支持Windwos、Linux等系统的自动化部署。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2.1.6.2信息校验</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在系统部署前，进行信息校验，安装校准信息：开关机状态、序列号、带外IP。</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2.1.6.3 部署方式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支持带外、PXE两种装机方式。</w:t>
            </w:r>
          </w:p>
        </w:tc>
      </w:tr>
      <w:tr>
        <w:tblPrEx>
          <w:tblCellMar>
            <w:top w:w="0" w:type="dxa"/>
            <w:left w:w="0" w:type="dxa"/>
            <w:bottom w:w="0" w:type="dxa"/>
            <w:right w:w="0" w:type="dxa"/>
          </w:tblCellMar>
        </w:tblPrEx>
        <w:trPr>
          <w:trHeight w:val="5772" w:hRule="atLeast"/>
        </w:trPr>
        <w:tc>
          <w:tcPr>
            <w:tcW w:w="724"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59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2.1.7 可视化展现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2.1.7.1网络拓扑：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1、支持自动发现和手动拓扑添加两种模式；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2、支持拓扑图的拖拉拽设置，可自主设置拓扑图形状；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3、当设备及网络链路出现异常时，例如：负载过高、流量过大等，会在平台上会以颜色直观的提示相关人员；</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4、支持多层次显示网络拓扑结构视图，支持展开和折叠不同层次的节点和连接关系。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2.1.7.2业务拓扑：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支持根据业务的角度来展示该设备在那个业务上，当这台设备发生告警时会显示那个业务会出现问题。</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·2.1.7.3大屏展现：支持从综合、监测、机房、机柜、资产、业务和能耗等多个角度展现数据中心IT基础设施运行情况，可定制大屏视图。要求至少提供10张大屏视图。</w:t>
            </w:r>
          </w:p>
        </w:tc>
      </w:tr>
      <w:tr>
        <w:tblPrEx>
          <w:tblCellMar>
            <w:top w:w="0" w:type="dxa"/>
            <w:left w:w="0" w:type="dxa"/>
            <w:bottom w:w="0" w:type="dxa"/>
            <w:right w:w="0" w:type="dxa"/>
          </w:tblCellMar>
        </w:tblPrEx>
        <w:trPr>
          <w:trHeight w:val="7357" w:hRule="atLeast"/>
        </w:trPr>
        <w:tc>
          <w:tcPr>
            <w:tcW w:w="724"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20"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5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2.1.8系统部署要求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平台支持在信创和非信创环境下均能部署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2.1.8.1非信创部署：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1、应用系统支持部署在开源的Linux操作系统上，保证监控平台的稳定性和安全性；</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2、应用系统部署需支持开源数据库，不得采用国外品牌商业版数据库；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3、要求支持Linux平台开源的中间件。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2.1.8.2信创系统部署要求：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1、应用系统支持部署适配在麒麟、统信、中兴新支点、中科方德等国产化操作系统上。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2、应用系统支持部署适配在达梦、优炫、巨杉、TiDB、GoldenDB、海量等国产数据库环境。</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3、应用系统支持部署适配在东方通、宝兰德、中创的中间件。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2.1.9其他功能需求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·2.1.9.1系统访问分析：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可对平台各项功能的使用频度及实时在线人数进行统计分析。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·2.1.9.2安全验证：</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1、支持多因子登录验证（登录密码、程序随机码、短信验证码、图片验证码），加强对系统登录的安全性管理；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2、支持国密算法。</w:t>
            </w:r>
          </w:p>
        </w:tc>
      </w:tr>
      <w:tr>
        <w:tblPrEx>
          <w:tblCellMar>
            <w:top w:w="0" w:type="dxa"/>
            <w:left w:w="0" w:type="dxa"/>
            <w:bottom w:w="0" w:type="dxa"/>
            <w:right w:w="0" w:type="dxa"/>
          </w:tblCellMar>
        </w:tblPrEx>
        <w:trPr>
          <w:trHeight w:val="2460" w:hRule="atLeast"/>
        </w:trPr>
        <w:tc>
          <w:tcPr>
            <w:tcW w:w="724" w:type="dxa"/>
            <w:vMerge w:val="continue"/>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6" w:type="dxa"/>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20"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2.2智慧大屏</w:t>
            </w:r>
          </w:p>
        </w:tc>
        <w:tc>
          <w:tcPr>
            <w:tcW w:w="5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智慧屏≥85英寸</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分辨率≥4K</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接口：HDMI≥2个、USB≥2</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网络：支持有线，无线连接</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屏幕：手写触摸</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系统：支持Android、Windows系统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包含壁挂件和移动落地支架；</w:t>
            </w:r>
          </w:p>
        </w:tc>
      </w:tr>
      <w:tr>
        <w:tblPrEx>
          <w:shd w:val="clear" w:color="auto" w:fill="auto"/>
          <w:tblCellMar>
            <w:top w:w="0" w:type="dxa"/>
            <w:left w:w="0" w:type="dxa"/>
            <w:bottom w:w="0" w:type="dxa"/>
            <w:right w:w="0" w:type="dxa"/>
          </w:tblCellMar>
        </w:tblPrEx>
        <w:trPr>
          <w:trHeight w:val="4043" w:hRule="atLeast"/>
        </w:trPr>
        <w:tc>
          <w:tcPr>
            <w:tcW w:w="72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0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4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2.3服务器</w:t>
            </w:r>
          </w:p>
        </w:tc>
        <w:tc>
          <w:tcPr>
            <w:tcW w:w="5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单台配置如下：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CPU：配置≥2颗CPU,每颗主频≥2.4GHz，每颗≥8核</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内存：≥64GB，单根≥16G，内存槽≥24条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硬盘：配置≥2块SSD硬盘，单块≥960G；配置≥5块，单块≥1.2T 15K SAS，支持硬盘热插拔；</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RAID阵列卡：配置≥1块独立RAID卡（含掉电保护），配置≥2GB缓存模块，支持RAID0，1，5，6，10，50，60等；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电源: ≥2*550W,冗余满配</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导轨：原厂导轨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网卡:1Gbps≥4,10Gbps≥2(含光模块)</w:t>
            </w:r>
          </w:p>
        </w:tc>
      </w:tr>
      <w:tr>
        <w:tblPrEx>
          <w:shd w:val="clear" w:color="auto" w:fill="auto"/>
          <w:tblCellMar>
            <w:top w:w="0" w:type="dxa"/>
            <w:left w:w="0" w:type="dxa"/>
            <w:bottom w:w="0" w:type="dxa"/>
            <w:right w:w="0" w:type="dxa"/>
          </w:tblCellMar>
        </w:tblPrEx>
        <w:trPr>
          <w:trHeight w:val="1244" w:hRule="atLeast"/>
        </w:trPr>
        <w:tc>
          <w:tcPr>
            <w:tcW w:w="9195"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0"/>
                <w:sz w:val="24"/>
                <w:szCs w:val="24"/>
                <w:u w:val="none"/>
                <w:lang w:val="en-US" w:eastAsia="zh-CN" w:bidi="ar"/>
              </w:rPr>
            </w:pPr>
            <w:r>
              <w:rPr>
                <w:rFonts w:hint="eastAsia" w:ascii="宋体" w:hAnsi="宋体" w:cs="宋体"/>
                <w:b/>
                <w:bCs/>
                <w:i w:val="0"/>
                <w:color w:val="000000"/>
                <w:sz w:val="22"/>
                <w:szCs w:val="22"/>
                <w:u w:val="none"/>
                <w:lang w:val="en-US" w:eastAsia="zh-CN"/>
              </w:rPr>
              <w:t>*</w:t>
            </w:r>
            <w:r>
              <w:rPr>
                <w:rFonts w:hint="eastAsia" w:ascii="宋体" w:hAnsi="宋体" w:eastAsia="宋体" w:cs="宋体"/>
                <w:b/>
                <w:bCs/>
                <w:i w:val="0"/>
                <w:color w:val="000000"/>
                <w:sz w:val="22"/>
                <w:szCs w:val="22"/>
                <w:u w:val="none"/>
                <w:lang w:val="en-US" w:eastAsia="zh-CN"/>
              </w:rPr>
              <w:t>商务要求(均为实质性响应条款，不接受负偏离）</w:t>
            </w:r>
          </w:p>
        </w:tc>
      </w:tr>
      <w:tr>
        <w:tblPrEx>
          <w:shd w:val="clear" w:color="auto" w:fill="auto"/>
          <w:tblCellMar>
            <w:top w:w="0" w:type="dxa"/>
            <w:left w:w="0" w:type="dxa"/>
            <w:bottom w:w="0" w:type="dxa"/>
            <w:right w:w="0" w:type="dxa"/>
          </w:tblCellMar>
        </w:tblPrEx>
        <w:trPr>
          <w:trHeight w:val="4470" w:hRule="atLeast"/>
        </w:trPr>
        <w:tc>
          <w:tcPr>
            <w:tcW w:w="72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0"/>
                <w:sz w:val="24"/>
                <w:szCs w:val="24"/>
                <w:highlight w:val="none"/>
                <w:u w:val="none"/>
                <w:lang w:val="en-US" w:eastAsia="zh-CN" w:bidi="ar"/>
              </w:rPr>
              <w:t>1</w:t>
            </w:r>
          </w:p>
        </w:tc>
        <w:tc>
          <w:tcPr>
            <w:tcW w:w="109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附加验收条件</w:t>
            </w:r>
          </w:p>
        </w:tc>
        <w:tc>
          <w:tcPr>
            <w:tcW w:w="7375" w:type="dxa"/>
            <w:gridSpan w:val="2"/>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highlight w:val="none"/>
                <w:u w:val="none"/>
              </w:rPr>
            </w:pPr>
            <w:r>
              <w:rPr>
                <w:rFonts w:hint="default" w:ascii="Times New Roman" w:hAnsi="Times New Roman" w:eastAsia="宋体" w:cs="Times New Roman"/>
                <w:i w:val="0"/>
                <w:color w:val="000000"/>
                <w:kern w:val="0"/>
                <w:sz w:val="24"/>
                <w:szCs w:val="24"/>
                <w:highlight w:val="none"/>
                <w:u w:val="none"/>
                <w:lang w:val="en-US" w:eastAsia="zh-CN" w:bidi="ar"/>
              </w:rPr>
              <w:t>1</w:t>
            </w:r>
            <w:r>
              <w:rPr>
                <w:rStyle w:val="6"/>
                <w:highlight w:val="none"/>
                <w:lang w:val="en-US" w:eastAsia="zh-CN" w:bidi="ar"/>
              </w:rPr>
              <w:t>、通过系统全流程运行测试，运行检测时间≥</w:t>
            </w:r>
            <w:r>
              <w:rPr>
                <w:rFonts w:hint="default" w:ascii="Times New Roman" w:hAnsi="Times New Roman" w:eastAsia="宋体" w:cs="Times New Roman"/>
                <w:i w:val="0"/>
                <w:color w:val="000000"/>
                <w:kern w:val="0"/>
                <w:sz w:val="24"/>
                <w:szCs w:val="24"/>
                <w:highlight w:val="none"/>
                <w:u w:val="none"/>
                <w:lang w:val="en-US" w:eastAsia="zh-CN" w:bidi="ar"/>
              </w:rPr>
              <w:t>3</w:t>
            </w:r>
            <w:r>
              <w:rPr>
                <w:rStyle w:val="6"/>
                <w:highlight w:val="none"/>
                <w:lang w:val="en-US" w:eastAsia="zh-CN" w:bidi="ar"/>
              </w:rPr>
              <w:t>个月。</w:t>
            </w:r>
            <w:r>
              <w:rPr>
                <w:rStyle w:val="6"/>
                <w:highlight w:val="none"/>
                <w:lang w:val="en-US" w:eastAsia="zh-CN" w:bidi="ar"/>
              </w:rPr>
              <w:br w:type="textWrapping"/>
            </w:r>
            <w:r>
              <w:rPr>
                <w:rFonts w:hint="default" w:ascii="Times New Roman" w:hAnsi="Times New Roman" w:eastAsia="宋体" w:cs="Times New Roman"/>
                <w:i w:val="0"/>
                <w:color w:val="000000"/>
                <w:kern w:val="0"/>
                <w:sz w:val="24"/>
                <w:szCs w:val="24"/>
                <w:highlight w:val="none"/>
                <w:u w:val="none"/>
                <w:lang w:val="en-US" w:eastAsia="zh-CN" w:bidi="ar"/>
              </w:rPr>
              <w:t>2</w:t>
            </w:r>
            <w:r>
              <w:rPr>
                <w:rStyle w:val="6"/>
                <w:highlight w:val="none"/>
                <w:lang w:val="en-US" w:eastAsia="zh-CN" w:bidi="ar"/>
              </w:rPr>
              <w:t>、投标人中标后，对所投产品配合招标人进行“</w:t>
            </w:r>
            <w:r>
              <w:rPr>
                <w:rFonts w:hint="default" w:ascii="Times New Roman" w:hAnsi="Times New Roman" w:eastAsia="宋体" w:cs="Times New Roman"/>
                <w:i w:val="0"/>
                <w:color w:val="000000"/>
                <w:kern w:val="0"/>
                <w:sz w:val="24"/>
                <w:szCs w:val="24"/>
                <w:highlight w:val="none"/>
                <w:u w:val="none"/>
                <w:lang w:val="en-US" w:eastAsia="zh-CN" w:bidi="ar"/>
              </w:rPr>
              <w:t>POC</w:t>
            </w:r>
            <w:r>
              <w:rPr>
                <w:rStyle w:val="6"/>
                <w:highlight w:val="none"/>
                <w:lang w:val="en-US" w:eastAsia="zh-CN" w:bidi="ar"/>
              </w:rPr>
              <w:t>测试”此次功能检测结果可作为后期验收工作的有效参考，降低验收工作量。（</w:t>
            </w:r>
            <w:r>
              <w:rPr>
                <w:rFonts w:hint="default" w:ascii="Times New Roman" w:hAnsi="Times New Roman" w:eastAsia="宋体" w:cs="Times New Roman"/>
                <w:i w:val="0"/>
                <w:color w:val="000000"/>
                <w:kern w:val="0"/>
                <w:sz w:val="24"/>
                <w:szCs w:val="24"/>
                <w:highlight w:val="none"/>
                <w:u w:val="none"/>
                <w:lang w:val="en-US" w:eastAsia="zh-CN" w:bidi="ar"/>
              </w:rPr>
              <w:t>1</w:t>
            </w:r>
            <w:r>
              <w:rPr>
                <w:rStyle w:val="6"/>
                <w:highlight w:val="none"/>
                <w:lang w:val="en-US" w:eastAsia="zh-CN" w:bidi="ar"/>
              </w:rPr>
              <w:t>）</w:t>
            </w:r>
            <w:r>
              <w:rPr>
                <w:rFonts w:hint="default" w:ascii="Times New Roman" w:hAnsi="Times New Roman" w:eastAsia="宋体" w:cs="Times New Roman"/>
                <w:i w:val="0"/>
                <w:color w:val="000000"/>
                <w:kern w:val="0"/>
                <w:sz w:val="24"/>
                <w:szCs w:val="24"/>
                <w:highlight w:val="none"/>
                <w:u w:val="none"/>
                <w:lang w:val="en-US" w:eastAsia="zh-CN" w:bidi="ar"/>
              </w:rPr>
              <w:t xml:space="preserve"> </w:t>
            </w:r>
            <w:r>
              <w:rPr>
                <w:rStyle w:val="6"/>
                <w:highlight w:val="none"/>
                <w:lang w:val="en-US" w:eastAsia="zh-CN" w:bidi="ar"/>
              </w:rPr>
              <w:t>检测全过程需采取截图等方式进行记录；（</w:t>
            </w:r>
            <w:r>
              <w:rPr>
                <w:rFonts w:hint="default" w:ascii="Times New Roman" w:hAnsi="Times New Roman" w:eastAsia="宋体" w:cs="Times New Roman"/>
                <w:i w:val="0"/>
                <w:color w:val="000000"/>
                <w:kern w:val="0"/>
                <w:sz w:val="24"/>
                <w:szCs w:val="24"/>
                <w:highlight w:val="none"/>
                <w:u w:val="none"/>
                <w:lang w:val="en-US" w:eastAsia="zh-CN" w:bidi="ar"/>
              </w:rPr>
              <w:t>2</w:t>
            </w:r>
            <w:r>
              <w:rPr>
                <w:rStyle w:val="6"/>
                <w:highlight w:val="none"/>
                <w:lang w:val="en-US" w:eastAsia="zh-CN" w:bidi="ar"/>
              </w:rPr>
              <w:t>）检测结果：检测通过、检测未通过、未测（未测原因可为</w:t>
            </w:r>
            <w:r>
              <w:rPr>
                <w:rFonts w:hint="default" w:ascii="Times New Roman" w:hAnsi="Times New Roman" w:eastAsia="宋体" w:cs="Times New Roman"/>
                <w:i w:val="0"/>
                <w:color w:val="000000"/>
                <w:kern w:val="0"/>
                <w:sz w:val="24"/>
                <w:szCs w:val="24"/>
                <w:highlight w:val="none"/>
                <w:u w:val="none"/>
                <w:lang w:val="en-US" w:eastAsia="zh-CN" w:bidi="ar"/>
              </w:rPr>
              <w:t>“</w:t>
            </w:r>
            <w:r>
              <w:rPr>
                <w:rStyle w:val="6"/>
                <w:highlight w:val="none"/>
                <w:lang w:val="en-US" w:eastAsia="zh-CN" w:bidi="ar"/>
              </w:rPr>
              <w:t>信息室不具备检测条件</w:t>
            </w:r>
            <w:r>
              <w:rPr>
                <w:rFonts w:hint="default" w:ascii="Times New Roman" w:hAnsi="Times New Roman" w:eastAsia="宋体" w:cs="Times New Roman"/>
                <w:i w:val="0"/>
                <w:color w:val="000000"/>
                <w:kern w:val="0"/>
                <w:sz w:val="24"/>
                <w:szCs w:val="24"/>
                <w:highlight w:val="none"/>
                <w:u w:val="none"/>
                <w:lang w:val="en-US" w:eastAsia="zh-CN" w:bidi="ar"/>
              </w:rPr>
              <w:t>”</w:t>
            </w:r>
            <w:r>
              <w:rPr>
                <w:rStyle w:val="6"/>
                <w:highlight w:val="none"/>
                <w:lang w:val="en-US" w:eastAsia="zh-CN" w:bidi="ar"/>
              </w:rPr>
              <w:t>、</w:t>
            </w:r>
            <w:r>
              <w:rPr>
                <w:rFonts w:hint="default" w:ascii="Times New Roman" w:hAnsi="Times New Roman" w:eastAsia="宋体" w:cs="Times New Roman"/>
                <w:i w:val="0"/>
                <w:color w:val="000000"/>
                <w:kern w:val="0"/>
                <w:sz w:val="24"/>
                <w:szCs w:val="24"/>
                <w:highlight w:val="none"/>
                <w:u w:val="none"/>
                <w:lang w:val="en-US" w:eastAsia="zh-CN" w:bidi="ar"/>
              </w:rPr>
              <w:t>“</w:t>
            </w:r>
            <w:r>
              <w:rPr>
                <w:rStyle w:val="6"/>
                <w:highlight w:val="none"/>
                <w:lang w:val="en-US" w:eastAsia="zh-CN" w:bidi="ar"/>
              </w:rPr>
              <w:t>中标方投标文件未响应</w:t>
            </w:r>
            <w:r>
              <w:rPr>
                <w:rFonts w:hint="default" w:ascii="Times New Roman" w:hAnsi="Times New Roman" w:eastAsia="宋体" w:cs="Times New Roman"/>
                <w:i w:val="0"/>
                <w:color w:val="000000"/>
                <w:kern w:val="0"/>
                <w:sz w:val="24"/>
                <w:szCs w:val="24"/>
                <w:highlight w:val="none"/>
                <w:u w:val="none"/>
                <w:lang w:val="en-US" w:eastAsia="zh-CN" w:bidi="ar"/>
              </w:rPr>
              <w:t>”</w:t>
            </w:r>
            <w:r>
              <w:rPr>
                <w:rStyle w:val="6"/>
                <w:highlight w:val="none"/>
                <w:lang w:val="en-US" w:eastAsia="zh-CN" w:bidi="ar"/>
              </w:rPr>
              <w:t>等）；（</w:t>
            </w:r>
            <w:r>
              <w:rPr>
                <w:rFonts w:hint="default" w:ascii="Times New Roman" w:hAnsi="Times New Roman" w:eastAsia="宋体" w:cs="Times New Roman"/>
                <w:i w:val="0"/>
                <w:color w:val="000000"/>
                <w:kern w:val="0"/>
                <w:sz w:val="24"/>
                <w:szCs w:val="24"/>
                <w:highlight w:val="none"/>
                <w:u w:val="none"/>
                <w:lang w:val="en-US" w:eastAsia="zh-CN" w:bidi="ar"/>
              </w:rPr>
              <w:t>3</w:t>
            </w:r>
            <w:r>
              <w:rPr>
                <w:rStyle w:val="6"/>
                <w:highlight w:val="none"/>
                <w:lang w:val="en-US" w:eastAsia="zh-CN" w:bidi="ar"/>
              </w:rPr>
              <w:t>）检测人：信息室网络组人员逐项进行检测并签名确认；（</w:t>
            </w:r>
            <w:r>
              <w:rPr>
                <w:rFonts w:hint="default" w:ascii="Times New Roman" w:hAnsi="Times New Roman" w:eastAsia="宋体" w:cs="Times New Roman"/>
                <w:i w:val="0"/>
                <w:color w:val="000000"/>
                <w:kern w:val="0"/>
                <w:sz w:val="24"/>
                <w:szCs w:val="24"/>
                <w:highlight w:val="none"/>
                <w:u w:val="none"/>
                <w:lang w:val="en-US" w:eastAsia="zh-CN" w:bidi="ar"/>
              </w:rPr>
              <w:t>4</w:t>
            </w:r>
            <w:r>
              <w:rPr>
                <w:rStyle w:val="6"/>
                <w:highlight w:val="none"/>
                <w:lang w:val="en-US" w:eastAsia="zh-CN" w:bidi="ar"/>
              </w:rPr>
              <w:t>）</w:t>
            </w:r>
            <w:r>
              <w:rPr>
                <w:rFonts w:hint="default" w:ascii="Times New Roman" w:hAnsi="Times New Roman" w:eastAsia="宋体" w:cs="Times New Roman"/>
                <w:i w:val="0"/>
                <w:color w:val="000000"/>
                <w:kern w:val="0"/>
                <w:sz w:val="24"/>
                <w:szCs w:val="24"/>
                <w:highlight w:val="none"/>
                <w:u w:val="none"/>
                <w:lang w:val="en-US" w:eastAsia="zh-CN" w:bidi="ar"/>
              </w:rPr>
              <w:t xml:space="preserve"> </w:t>
            </w:r>
            <w:r>
              <w:rPr>
                <w:rStyle w:val="6"/>
                <w:highlight w:val="none"/>
                <w:lang w:val="en-US" w:eastAsia="zh-CN" w:bidi="ar"/>
              </w:rPr>
              <w:t>整体检测完成后，由信息室主任签字确认。</w:t>
            </w:r>
            <w:r>
              <w:rPr>
                <w:rStyle w:val="6"/>
                <w:highlight w:val="none"/>
                <w:lang w:val="en-US" w:eastAsia="zh-CN" w:bidi="ar"/>
              </w:rPr>
              <w:br w:type="textWrapping"/>
            </w:r>
            <w:r>
              <w:rPr>
                <w:rFonts w:hint="default" w:ascii="Times New Roman" w:hAnsi="Times New Roman" w:eastAsia="宋体" w:cs="Times New Roman"/>
                <w:i w:val="0"/>
                <w:color w:val="000000"/>
                <w:kern w:val="0"/>
                <w:sz w:val="24"/>
                <w:szCs w:val="24"/>
                <w:highlight w:val="none"/>
                <w:u w:val="none"/>
                <w:lang w:val="en-US" w:eastAsia="zh-CN" w:bidi="ar"/>
              </w:rPr>
              <w:t>3</w:t>
            </w:r>
            <w:r>
              <w:rPr>
                <w:rStyle w:val="6"/>
                <w:highlight w:val="none"/>
                <w:lang w:val="en-US" w:eastAsia="zh-CN" w:bidi="ar"/>
              </w:rPr>
              <w:t>、所投标报价的清单及价格，投标人应充分考虑，包括且不限于设备管理用综合布线、网线、模块、配线架、水晶头、辅材等各项，应确保整体信息设备运维监控系统完全满足正常使用，满足招标人的各项相关要求，不允许有漏项增补发生，并且在整个实施过程中，不能影响现网</w:t>
            </w:r>
            <w:r>
              <w:rPr>
                <w:rFonts w:hint="default" w:ascii="Times New Roman" w:hAnsi="Times New Roman" w:eastAsia="宋体" w:cs="Times New Roman"/>
                <w:i w:val="0"/>
                <w:color w:val="000000"/>
                <w:kern w:val="0"/>
                <w:sz w:val="24"/>
                <w:szCs w:val="24"/>
                <w:highlight w:val="none"/>
                <w:u w:val="none"/>
                <w:lang w:val="en-US" w:eastAsia="zh-CN" w:bidi="ar"/>
              </w:rPr>
              <w:t>IT</w:t>
            </w:r>
            <w:r>
              <w:rPr>
                <w:rStyle w:val="6"/>
                <w:highlight w:val="none"/>
                <w:lang w:val="en-US" w:eastAsia="zh-CN" w:bidi="ar"/>
              </w:rPr>
              <w:t>设备的正常运行。</w:t>
            </w:r>
          </w:p>
        </w:tc>
      </w:tr>
      <w:tr>
        <w:tblPrEx>
          <w:tblCellMar>
            <w:top w:w="0" w:type="dxa"/>
            <w:left w:w="0" w:type="dxa"/>
            <w:bottom w:w="0" w:type="dxa"/>
            <w:right w:w="0" w:type="dxa"/>
          </w:tblCellMar>
        </w:tblPrEx>
        <w:trPr>
          <w:trHeight w:val="82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2</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交货时间</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合同签订后</w:t>
            </w:r>
            <w:r>
              <w:rPr>
                <w:rFonts w:hint="default" w:ascii="Times New Roman" w:hAnsi="Times New Roman" w:eastAsia="宋体" w:cs="Times New Roman"/>
                <w:i w:val="0"/>
                <w:color w:val="000000"/>
                <w:kern w:val="0"/>
                <w:sz w:val="24"/>
                <w:szCs w:val="24"/>
                <w:u w:val="none"/>
                <w:lang w:val="en-US" w:eastAsia="zh-CN" w:bidi="ar"/>
              </w:rPr>
              <w:t>3</w:t>
            </w:r>
            <w:r>
              <w:rPr>
                <w:rStyle w:val="8"/>
                <w:rFonts w:ascii="宋体" w:hAnsi="宋体" w:eastAsia="宋体" w:cs="宋体"/>
                <w:sz w:val="24"/>
                <w:szCs w:val="24"/>
                <w:lang w:val="en-US" w:eastAsia="zh-CN" w:bidi="ar"/>
              </w:rPr>
              <w:t>个月内完成本地化部署版本安装，</w:t>
            </w:r>
            <w:r>
              <w:rPr>
                <w:rFonts w:hint="default" w:ascii="Times New Roman" w:hAnsi="Times New Roman" w:eastAsia="宋体" w:cs="Times New Roman"/>
                <w:i w:val="0"/>
                <w:color w:val="000000"/>
                <w:kern w:val="0"/>
                <w:sz w:val="24"/>
                <w:szCs w:val="24"/>
                <w:u w:val="none"/>
                <w:lang w:val="en-US" w:eastAsia="zh-CN" w:bidi="ar"/>
              </w:rPr>
              <w:t>6</w:t>
            </w:r>
            <w:r>
              <w:rPr>
                <w:rStyle w:val="8"/>
                <w:rFonts w:ascii="宋体" w:hAnsi="宋体" w:eastAsia="宋体" w:cs="宋体"/>
                <w:sz w:val="24"/>
                <w:szCs w:val="24"/>
                <w:lang w:val="en-US" w:eastAsia="zh-CN" w:bidi="ar"/>
              </w:rPr>
              <w:t>个月内完成整体项目交付。</w:t>
            </w:r>
          </w:p>
        </w:tc>
      </w:tr>
      <w:tr>
        <w:tblPrEx>
          <w:shd w:val="clear" w:color="auto" w:fill="auto"/>
          <w:tblCellMar>
            <w:top w:w="0" w:type="dxa"/>
            <w:left w:w="0" w:type="dxa"/>
            <w:bottom w:w="0" w:type="dxa"/>
            <w:right w:w="0" w:type="dxa"/>
          </w:tblCellMar>
        </w:tblPrEx>
        <w:trPr>
          <w:trHeight w:val="57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3</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交货地点</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北京市海淀区</w:t>
            </w:r>
          </w:p>
        </w:tc>
      </w:tr>
      <w:tr>
        <w:tblPrEx>
          <w:shd w:val="clear" w:color="auto" w:fill="auto"/>
          <w:tblCellMar>
            <w:top w:w="0" w:type="dxa"/>
            <w:left w:w="0" w:type="dxa"/>
            <w:bottom w:w="0" w:type="dxa"/>
            <w:right w:w="0" w:type="dxa"/>
          </w:tblCellMar>
        </w:tblPrEx>
        <w:trPr>
          <w:trHeight w:val="1152"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4</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付款条件</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default" w:ascii="Times New Roman" w:hAnsi="Times New Roman" w:eastAsia="宋体" w:cs="Times New Roman"/>
                <w:i w:val="0"/>
                <w:color w:val="000000"/>
                <w:sz w:val="24"/>
                <w:szCs w:val="24"/>
                <w:u w:val="none"/>
              </w:rPr>
            </w:pPr>
            <w:r>
              <w:rPr>
                <w:rStyle w:val="6"/>
                <w:lang w:val="en-US" w:eastAsia="zh-CN" w:bidi="ar"/>
              </w:rPr>
              <w:t>签订合同后硬件设备到货且软件安装后，通过系统全流程运行测试，检测时间≥</w:t>
            </w:r>
            <w:r>
              <w:rPr>
                <w:rFonts w:hint="default" w:ascii="Times New Roman" w:hAnsi="Times New Roman" w:eastAsia="宋体" w:cs="Times New Roman"/>
                <w:i w:val="0"/>
                <w:color w:val="000000"/>
                <w:kern w:val="0"/>
                <w:sz w:val="24"/>
                <w:szCs w:val="24"/>
                <w:u w:val="none"/>
                <w:lang w:val="en-US" w:eastAsia="zh-CN" w:bidi="ar"/>
              </w:rPr>
              <w:t>3</w:t>
            </w:r>
            <w:r>
              <w:rPr>
                <w:rStyle w:val="6"/>
                <w:lang w:val="en-US" w:eastAsia="zh-CN" w:bidi="ar"/>
              </w:rPr>
              <w:t>个月，付款</w:t>
            </w:r>
            <w:r>
              <w:rPr>
                <w:rFonts w:hint="default" w:ascii="Times New Roman" w:hAnsi="Times New Roman" w:eastAsia="宋体" w:cs="Times New Roman"/>
                <w:i w:val="0"/>
                <w:color w:val="000000"/>
                <w:kern w:val="0"/>
                <w:sz w:val="24"/>
                <w:szCs w:val="24"/>
                <w:u w:val="none"/>
                <w:lang w:val="en-US" w:eastAsia="zh-CN" w:bidi="ar"/>
              </w:rPr>
              <w:t>30%</w:t>
            </w:r>
            <w:r>
              <w:rPr>
                <w:rStyle w:val="6"/>
                <w:lang w:val="en-US" w:eastAsia="zh-CN" w:bidi="ar"/>
              </w:rPr>
              <w:t>，系统稳定运行且验收合格后支付</w:t>
            </w:r>
            <w:r>
              <w:rPr>
                <w:rFonts w:hint="default" w:ascii="Times New Roman" w:hAnsi="Times New Roman" w:eastAsia="宋体" w:cs="Times New Roman"/>
                <w:i w:val="0"/>
                <w:color w:val="000000"/>
                <w:kern w:val="0"/>
                <w:sz w:val="24"/>
                <w:szCs w:val="24"/>
                <w:u w:val="none"/>
                <w:lang w:val="en-US" w:eastAsia="zh-CN" w:bidi="ar"/>
              </w:rPr>
              <w:t>65%</w:t>
            </w:r>
            <w:r>
              <w:rPr>
                <w:rStyle w:val="6"/>
                <w:lang w:val="en-US" w:eastAsia="zh-CN" w:bidi="ar"/>
              </w:rPr>
              <w:t>，质保期满后付款</w:t>
            </w:r>
            <w:r>
              <w:rPr>
                <w:rFonts w:hint="default" w:ascii="Times New Roman" w:hAnsi="Times New Roman" w:eastAsia="宋体" w:cs="Times New Roman"/>
                <w:i w:val="0"/>
                <w:color w:val="000000"/>
                <w:kern w:val="0"/>
                <w:sz w:val="24"/>
                <w:szCs w:val="24"/>
                <w:u w:val="none"/>
                <w:lang w:val="en-US" w:eastAsia="zh-CN" w:bidi="ar"/>
              </w:rPr>
              <w:t>5%</w:t>
            </w:r>
            <w:r>
              <w:rPr>
                <w:rStyle w:val="6"/>
                <w:lang w:val="en-US" w:eastAsia="zh-CN" w:bidi="ar"/>
              </w:rPr>
              <w:t>；</w:t>
            </w:r>
          </w:p>
        </w:tc>
      </w:tr>
      <w:tr>
        <w:tblPrEx>
          <w:shd w:val="clear" w:color="auto" w:fill="auto"/>
          <w:tblCellMar>
            <w:top w:w="0" w:type="dxa"/>
            <w:left w:w="0" w:type="dxa"/>
            <w:bottom w:w="0" w:type="dxa"/>
            <w:right w:w="0" w:type="dxa"/>
          </w:tblCellMar>
        </w:tblPrEx>
        <w:trPr>
          <w:trHeight w:val="526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5</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7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4.1、故障响应：免费维保期内提供7*24 小时，电话技术支持与售后服务，响应时间≤30分钟，如果在线无法解决，立刻派出技术维护人员并≤2小时内到达客户现场，故障解决≤4小时内；</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4.2、原厂派现场技术工程师在用户现场提供产品安装测试等技术支持服务并提供项目设计、技术解决方案等服务；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4.3、软、硬件免费质保期≥3年，需出具原厂授权及售后服务承诺函（提供原厂官方400可查电话)质保期从验收合格日期起算。质保期内每季度到现场对系统进行巡检及版本升级，包含检查系统的运行状况，查看系统日志；并根据检查结果提供建议，必要时进行预防性维护维修，并提交服务报告，工程师在巡检时需同步更新平台纳管设备的维保时间；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4.4、系统实施部署期间驻地工程师≥2人；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4.5、厂家提供免费上门培训；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4.6、文档资料：产品合格证，软件使用说明书，软件数据结构文档、服务器管理权限等；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4.7、数据不出院，硬盘更换不返还；</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9460D7"/>
    <w:rsid w:val="12946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character" w:customStyle="1" w:styleId="6">
    <w:name w:val="font71"/>
    <w:basedOn w:val="5"/>
    <w:qFormat/>
    <w:uiPriority w:val="0"/>
    <w:rPr>
      <w:rFonts w:hint="eastAsia" w:ascii="宋体" w:hAnsi="宋体" w:eastAsia="宋体" w:cs="宋体"/>
      <w:color w:val="000000"/>
      <w:sz w:val="24"/>
      <w:szCs w:val="24"/>
      <w:u w:val="none"/>
    </w:rPr>
  </w:style>
  <w:style w:type="character" w:customStyle="1" w:styleId="7">
    <w:name w:val="font51"/>
    <w:basedOn w:val="5"/>
    <w:qFormat/>
    <w:uiPriority w:val="0"/>
    <w:rPr>
      <w:rFonts w:hint="eastAsia" w:ascii="宋体" w:hAnsi="宋体" w:eastAsia="宋体" w:cs="宋体"/>
      <w:color w:val="000000"/>
      <w:sz w:val="24"/>
      <w:szCs w:val="24"/>
      <w:u w:val="none"/>
    </w:rPr>
  </w:style>
  <w:style w:type="character" w:customStyle="1" w:styleId="8">
    <w:name w:val="font112"/>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2023-07-05T06:35:00Z</dcterms:created>
  <dc:creator>孙燕君</dc:creator>
  <cp:lastModifiedBy>孙燕君</cp:lastModifiedBy>
  <dcterms:modified xsi:type="dcterms:W3CDTF">2023-07-05T06:36:04Z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