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0294" w:type="dxa"/>
        <w:jc w:val="center"/>
        <w:tblInd w:w="0" w:type="dxa"/>
        <w:shd w:val="clear" w:color="auto" w:fill="auto"/>
        <w:tblLayout w:type="fixed"/>
        <w:tblCellMar>
          <w:top w:w="0" w:type="dxa"/>
          <w:left w:w="0" w:type="dxa"/>
          <w:bottom w:w="0" w:type="dxa"/>
          <w:right w:w="0" w:type="dxa"/>
        </w:tblCellMar>
      </w:tblPr>
      <w:tblGrid>
        <w:gridCol w:w="1158"/>
        <w:gridCol w:w="2305"/>
        <w:gridCol w:w="2454"/>
        <w:gridCol w:w="846"/>
        <w:gridCol w:w="2700"/>
        <w:gridCol w:w="831"/>
      </w:tblGrid>
      <w:tr>
        <w:tblPrEx>
          <w:shd w:val="clear" w:color="auto" w:fill="auto"/>
          <w:tblLayout w:type="fixed"/>
          <w:tblCellMar>
            <w:top w:w="0" w:type="dxa"/>
            <w:left w:w="0" w:type="dxa"/>
            <w:bottom w:w="0" w:type="dxa"/>
            <w:right w:w="0" w:type="dxa"/>
          </w:tblCellMar>
        </w:tblPrEx>
        <w:trPr>
          <w:trHeight w:val="749" w:hRule="atLeast"/>
          <w:jc w:val="center"/>
        </w:trPr>
        <w:tc>
          <w:tcPr>
            <w:tcW w:w="10294" w:type="dxa"/>
            <w:gridSpan w:val="6"/>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方正小标宋简体" w:hAnsi="方正小标宋简体" w:eastAsia="方正小标宋简体" w:cs="方正小标宋简体"/>
                <w:b/>
                <w:i w:val="0"/>
                <w:color w:val="000000"/>
                <w:sz w:val="40"/>
                <w:szCs w:val="40"/>
                <w:u w:val="none"/>
              </w:rPr>
            </w:pPr>
            <w:r>
              <w:rPr>
                <w:rFonts w:hint="default" w:ascii="方正小标宋简体" w:hAnsi="方正小标宋简体" w:eastAsia="方正小标宋简体" w:cs="方正小标宋简体"/>
                <w:b/>
                <w:i w:val="0"/>
                <w:color w:val="000000"/>
                <w:kern w:val="0"/>
                <w:sz w:val="40"/>
                <w:szCs w:val="40"/>
                <w:u w:val="none"/>
                <w:lang w:val="en-US" w:eastAsia="zh-CN" w:bidi="ar"/>
              </w:rPr>
              <w:t>医疗设备技术需求确认表</w:t>
            </w:r>
          </w:p>
        </w:tc>
      </w:tr>
      <w:tr>
        <w:tblPrEx>
          <w:tblLayout w:type="fixed"/>
          <w:tblCellMar>
            <w:top w:w="0" w:type="dxa"/>
            <w:left w:w="0" w:type="dxa"/>
            <w:bottom w:w="0" w:type="dxa"/>
            <w:right w:w="0" w:type="dxa"/>
          </w:tblCellMar>
        </w:tblPrEx>
        <w:trPr>
          <w:trHeight w:val="614" w:hRule="atLeast"/>
          <w:jc w:val="center"/>
        </w:trPr>
        <w:tc>
          <w:tcPr>
            <w:tcW w:w="1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等线" w:eastAsia="黑体" w:cs="黑体"/>
                <w:i w:val="0"/>
                <w:color w:val="000000"/>
                <w:sz w:val="24"/>
                <w:szCs w:val="24"/>
                <w:u w:val="none"/>
              </w:rPr>
            </w:pPr>
            <w:r>
              <w:rPr>
                <w:rFonts w:hint="eastAsia" w:ascii="黑体" w:hAnsi="等线" w:eastAsia="黑体" w:cs="黑体"/>
                <w:i w:val="0"/>
                <w:color w:val="000000"/>
                <w:kern w:val="0"/>
                <w:sz w:val="24"/>
                <w:szCs w:val="24"/>
                <w:u w:val="none"/>
                <w:lang w:val="en-US" w:eastAsia="zh-CN" w:bidi="ar"/>
              </w:rPr>
              <w:t>设备名称</w:t>
            </w:r>
          </w:p>
        </w:tc>
        <w:tc>
          <w:tcPr>
            <w:tcW w:w="2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有创呼吸机</w:t>
            </w:r>
          </w:p>
        </w:tc>
        <w:tc>
          <w:tcPr>
            <w:tcW w:w="24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top"/>
              <w:rPr>
                <w:rFonts w:hint="eastAsia" w:ascii="黑体" w:hAnsi="等线" w:eastAsia="黑体" w:cs="黑体"/>
                <w:i w:val="0"/>
                <w:color w:val="000000"/>
                <w:sz w:val="24"/>
                <w:szCs w:val="24"/>
                <w:u w:val="none"/>
              </w:rPr>
            </w:pPr>
            <w:r>
              <w:rPr>
                <w:rFonts w:hint="eastAsia" w:ascii="黑体" w:hAnsi="等线" w:eastAsia="黑体" w:cs="黑体"/>
                <w:i w:val="0"/>
                <w:color w:val="000000"/>
                <w:kern w:val="0"/>
                <w:sz w:val="24"/>
                <w:szCs w:val="24"/>
                <w:u w:val="none"/>
                <w:lang w:val="en-US" w:eastAsia="zh-CN" w:bidi="ar"/>
              </w:rPr>
              <w:t>总数量（台/套）</w:t>
            </w:r>
          </w:p>
        </w:tc>
        <w:tc>
          <w:tcPr>
            <w:tcW w:w="846"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top"/>
              <w:rPr>
                <w:rFonts w:hint="eastAsia" w:ascii="黑体" w:hAnsi="等线" w:eastAsia="黑体" w:cs="黑体"/>
                <w:i w:val="0"/>
                <w:color w:val="000000"/>
                <w:sz w:val="24"/>
                <w:szCs w:val="24"/>
                <w:u w:val="none"/>
              </w:rPr>
            </w:pPr>
            <w:r>
              <w:rPr>
                <w:rFonts w:hint="eastAsia" w:ascii="黑体" w:hAnsi="等线" w:eastAsia="黑体" w:cs="黑体"/>
                <w:i w:val="0"/>
                <w:color w:val="000000"/>
                <w:kern w:val="0"/>
                <w:sz w:val="24"/>
                <w:szCs w:val="24"/>
                <w:u w:val="none"/>
                <w:lang w:val="en-US" w:eastAsia="zh-CN" w:bidi="ar"/>
              </w:rPr>
              <w:t>10</w:t>
            </w:r>
          </w:p>
        </w:tc>
        <w:tc>
          <w:tcPr>
            <w:tcW w:w="2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top"/>
              <w:rPr>
                <w:rFonts w:hint="eastAsia" w:ascii="黑体" w:hAnsi="等线" w:eastAsia="黑体" w:cs="黑体"/>
                <w:i w:val="0"/>
                <w:color w:val="000000"/>
                <w:sz w:val="24"/>
                <w:szCs w:val="24"/>
                <w:u w:val="none"/>
              </w:rPr>
            </w:pPr>
            <w:r>
              <w:rPr>
                <w:rFonts w:hint="eastAsia" w:ascii="黑体" w:hAnsi="等线" w:eastAsia="黑体" w:cs="黑体"/>
                <w:i w:val="0"/>
                <w:color w:val="000000"/>
                <w:kern w:val="0"/>
                <w:sz w:val="24"/>
                <w:szCs w:val="24"/>
                <w:u w:val="none"/>
                <w:lang w:val="en-US" w:eastAsia="zh-CN" w:bidi="ar"/>
              </w:rPr>
              <w:t>预算总金额（万元）</w:t>
            </w:r>
          </w:p>
        </w:tc>
        <w:tc>
          <w:tcPr>
            <w:tcW w:w="8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top"/>
              <w:rPr>
                <w:rFonts w:hint="eastAsia" w:ascii="黑体" w:hAnsi="等线" w:eastAsia="黑体" w:cs="黑体"/>
                <w:i w:val="0"/>
                <w:color w:val="000000"/>
                <w:sz w:val="24"/>
                <w:szCs w:val="24"/>
                <w:u w:val="none"/>
              </w:rPr>
            </w:pPr>
            <w:r>
              <w:rPr>
                <w:rFonts w:hint="eastAsia" w:ascii="黑体" w:hAnsi="等线" w:eastAsia="黑体" w:cs="黑体"/>
                <w:i w:val="0"/>
                <w:color w:val="000000"/>
                <w:kern w:val="0"/>
                <w:sz w:val="24"/>
                <w:szCs w:val="24"/>
                <w:u w:val="none"/>
                <w:lang w:val="en-US" w:eastAsia="zh-CN" w:bidi="ar"/>
              </w:rPr>
              <w:t>300</w:t>
            </w:r>
          </w:p>
        </w:tc>
      </w:tr>
      <w:tr>
        <w:tblPrEx>
          <w:tblLayout w:type="fixed"/>
          <w:tblCellMar>
            <w:top w:w="0" w:type="dxa"/>
            <w:left w:w="0" w:type="dxa"/>
            <w:bottom w:w="0" w:type="dxa"/>
            <w:right w:w="0" w:type="dxa"/>
          </w:tblCellMar>
        </w:tblPrEx>
        <w:trPr>
          <w:trHeight w:val="0" w:hRule="atLeast"/>
          <w:jc w:val="center"/>
        </w:trPr>
        <w:tc>
          <w:tcPr>
            <w:tcW w:w="1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b/>
                <w:bCs/>
                <w:i w:val="0"/>
                <w:color w:val="000000"/>
                <w:kern w:val="0"/>
                <w:sz w:val="22"/>
                <w:szCs w:val="22"/>
                <w:u w:val="none"/>
                <w:lang w:val="en-US" w:eastAsia="zh-CN" w:bidi="ar"/>
              </w:rPr>
              <w:t>序号</w:t>
            </w:r>
          </w:p>
        </w:tc>
        <w:tc>
          <w:tcPr>
            <w:tcW w:w="2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b/>
                <w:bCs/>
                <w:i w:val="0"/>
                <w:color w:val="000000"/>
                <w:kern w:val="0"/>
                <w:sz w:val="22"/>
                <w:szCs w:val="22"/>
                <w:u w:val="none"/>
                <w:lang w:val="en-US" w:eastAsia="zh-CN" w:bidi="ar"/>
              </w:rPr>
              <w:t>技术和性能参数名称</w:t>
            </w:r>
          </w:p>
        </w:tc>
        <w:tc>
          <w:tcPr>
            <w:tcW w:w="60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b/>
                <w:bCs/>
                <w:i w:val="0"/>
                <w:color w:val="000000"/>
                <w:kern w:val="0"/>
                <w:sz w:val="22"/>
                <w:szCs w:val="22"/>
                <w:u w:val="none"/>
                <w:lang w:val="en-US" w:eastAsia="zh-CN" w:bidi="ar"/>
              </w:rPr>
              <w:t>招标参数和性能要求</w:t>
            </w:r>
          </w:p>
        </w:tc>
        <w:tc>
          <w:tcPr>
            <w:tcW w:w="8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b/>
                <w:bCs/>
                <w:i w:val="0"/>
                <w:color w:val="000000"/>
                <w:kern w:val="0"/>
                <w:sz w:val="22"/>
                <w:szCs w:val="22"/>
                <w:u w:val="none"/>
                <w:lang w:val="en-US" w:eastAsia="zh-CN" w:bidi="ar"/>
              </w:rPr>
              <w:t>备注</w:t>
            </w:r>
          </w:p>
        </w:tc>
      </w:tr>
      <w:tr>
        <w:tblPrEx>
          <w:tblLayout w:type="fixed"/>
          <w:tblCellMar>
            <w:top w:w="0" w:type="dxa"/>
            <w:left w:w="0" w:type="dxa"/>
            <w:bottom w:w="0" w:type="dxa"/>
            <w:right w:w="0" w:type="dxa"/>
          </w:tblCellMar>
        </w:tblPrEx>
        <w:trPr>
          <w:trHeight w:val="0" w:hRule="atLeast"/>
          <w:jc w:val="center"/>
        </w:trPr>
        <w:tc>
          <w:tcPr>
            <w:tcW w:w="1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2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基本要求</w:t>
            </w:r>
          </w:p>
        </w:tc>
        <w:tc>
          <w:tcPr>
            <w:tcW w:w="60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用于呼吸功能障碍患者的辅助机械通气，适用于成人、儿童</w:t>
            </w:r>
          </w:p>
        </w:tc>
        <w:tc>
          <w:tcPr>
            <w:tcW w:w="8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*2</w:t>
            </w:r>
          </w:p>
        </w:tc>
        <w:tc>
          <w:tcPr>
            <w:tcW w:w="2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资质认证</w:t>
            </w:r>
          </w:p>
        </w:tc>
        <w:tc>
          <w:tcPr>
            <w:tcW w:w="60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具备CFDA认证和CE认证</w:t>
            </w:r>
          </w:p>
        </w:tc>
        <w:tc>
          <w:tcPr>
            <w:tcW w:w="8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2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技术和性能参数</w:t>
            </w:r>
          </w:p>
        </w:tc>
        <w:tc>
          <w:tcPr>
            <w:tcW w:w="60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8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w:t>
            </w:r>
          </w:p>
        </w:tc>
        <w:tc>
          <w:tcPr>
            <w:tcW w:w="2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通气模式</w:t>
            </w:r>
          </w:p>
        </w:tc>
        <w:tc>
          <w:tcPr>
            <w:tcW w:w="60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8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*3.1.1</w:t>
            </w:r>
          </w:p>
        </w:tc>
        <w:tc>
          <w:tcPr>
            <w:tcW w:w="2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通气模式1</w:t>
            </w:r>
          </w:p>
        </w:tc>
        <w:tc>
          <w:tcPr>
            <w:tcW w:w="60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容量控制通气模式</w:t>
            </w:r>
          </w:p>
        </w:tc>
        <w:tc>
          <w:tcPr>
            <w:tcW w:w="8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*3.1.2</w:t>
            </w:r>
          </w:p>
        </w:tc>
        <w:tc>
          <w:tcPr>
            <w:tcW w:w="2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通气模式2</w:t>
            </w:r>
          </w:p>
        </w:tc>
        <w:tc>
          <w:tcPr>
            <w:tcW w:w="60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压力控制通气模式</w:t>
            </w:r>
          </w:p>
        </w:tc>
        <w:tc>
          <w:tcPr>
            <w:tcW w:w="8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*3.1.3</w:t>
            </w:r>
          </w:p>
        </w:tc>
        <w:tc>
          <w:tcPr>
            <w:tcW w:w="2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通气模式3</w:t>
            </w:r>
          </w:p>
        </w:tc>
        <w:tc>
          <w:tcPr>
            <w:tcW w:w="60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同步间歇指令通气模式</w:t>
            </w:r>
          </w:p>
        </w:tc>
        <w:tc>
          <w:tcPr>
            <w:tcW w:w="8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*3.1.4</w:t>
            </w:r>
          </w:p>
        </w:tc>
        <w:tc>
          <w:tcPr>
            <w:tcW w:w="2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通气模式4</w:t>
            </w:r>
          </w:p>
        </w:tc>
        <w:tc>
          <w:tcPr>
            <w:tcW w:w="60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持续气道正压模式</w:t>
            </w:r>
          </w:p>
        </w:tc>
        <w:tc>
          <w:tcPr>
            <w:tcW w:w="8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*3.1.5</w:t>
            </w:r>
          </w:p>
        </w:tc>
        <w:tc>
          <w:tcPr>
            <w:tcW w:w="2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通气模式5</w:t>
            </w:r>
          </w:p>
        </w:tc>
        <w:tc>
          <w:tcPr>
            <w:tcW w:w="60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双水平气道正压通气模式</w:t>
            </w:r>
          </w:p>
        </w:tc>
        <w:tc>
          <w:tcPr>
            <w:tcW w:w="8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u w:val="none"/>
                <w:lang w:val="en-US" w:eastAsia="zh-CN" w:bidi="ar"/>
              </w:rPr>
              <w:t>·</w:t>
            </w:r>
            <w:r>
              <w:rPr>
                <w:rFonts w:hint="eastAsia" w:ascii="宋体" w:hAnsi="宋体" w:eastAsia="宋体" w:cs="宋体"/>
                <w:i w:val="0"/>
                <w:color w:val="000000"/>
                <w:kern w:val="0"/>
                <w:sz w:val="24"/>
                <w:szCs w:val="24"/>
                <w:highlight w:val="none"/>
                <w:u w:val="none"/>
                <w:lang w:val="en-US" w:eastAsia="zh-CN" w:bidi="ar"/>
              </w:rPr>
              <w:t>3.1.6</w:t>
            </w:r>
          </w:p>
        </w:tc>
        <w:tc>
          <w:tcPr>
            <w:tcW w:w="2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通气模式6</w:t>
            </w:r>
          </w:p>
        </w:tc>
        <w:tc>
          <w:tcPr>
            <w:tcW w:w="60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自适应分钟通气量通气</w:t>
            </w:r>
          </w:p>
        </w:tc>
        <w:tc>
          <w:tcPr>
            <w:tcW w:w="8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·3.1.7</w:t>
            </w:r>
          </w:p>
        </w:tc>
        <w:tc>
          <w:tcPr>
            <w:tcW w:w="2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通气模式7</w:t>
            </w:r>
          </w:p>
        </w:tc>
        <w:tc>
          <w:tcPr>
            <w:tcW w:w="60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心肺复苏通气</w:t>
            </w:r>
            <w:bookmarkStart w:id="0" w:name="_GoBack"/>
            <w:bookmarkEnd w:id="0"/>
          </w:p>
        </w:tc>
        <w:tc>
          <w:tcPr>
            <w:tcW w:w="8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·3.2</w:t>
            </w:r>
          </w:p>
        </w:tc>
        <w:tc>
          <w:tcPr>
            <w:tcW w:w="2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潮气量</w:t>
            </w:r>
          </w:p>
        </w:tc>
        <w:tc>
          <w:tcPr>
            <w:tcW w:w="60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(20－3000)ml，最大允许误差≤15%</w:t>
            </w:r>
          </w:p>
        </w:tc>
        <w:tc>
          <w:tcPr>
            <w:tcW w:w="8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3.3</w:t>
            </w:r>
          </w:p>
        </w:tc>
        <w:tc>
          <w:tcPr>
            <w:tcW w:w="2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呼吸频率</w:t>
            </w:r>
          </w:p>
        </w:tc>
        <w:tc>
          <w:tcPr>
            <w:tcW w:w="60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（4－80）次/分，最大允许误差≤10%或≤±1次/分（取绝对值大者）</w:t>
            </w:r>
          </w:p>
        </w:tc>
        <w:tc>
          <w:tcPr>
            <w:tcW w:w="8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3.4</w:t>
            </w:r>
          </w:p>
        </w:tc>
        <w:tc>
          <w:tcPr>
            <w:tcW w:w="2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氧浓度:     </w:t>
            </w:r>
          </w:p>
        </w:tc>
        <w:tc>
          <w:tcPr>
            <w:tcW w:w="60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（21－100)%，最大允许误差≤5%</w:t>
            </w:r>
          </w:p>
        </w:tc>
        <w:tc>
          <w:tcPr>
            <w:tcW w:w="8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*3.5</w:t>
            </w:r>
          </w:p>
        </w:tc>
        <w:tc>
          <w:tcPr>
            <w:tcW w:w="2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最大吸气流速</w:t>
            </w:r>
          </w:p>
        </w:tc>
        <w:tc>
          <w:tcPr>
            <w:tcW w:w="60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≥180L/min</w:t>
            </w:r>
          </w:p>
        </w:tc>
        <w:tc>
          <w:tcPr>
            <w:tcW w:w="8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·3.6</w:t>
            </w:r>
          </w:p>
        </w:tc>
        <w:tc>
          <w:tcPr>
            <w:tcW w:w="2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高流量氧疗功能</w:t>
            </w:r>
          </w:p>
        </w:tc>
        <w:tc>
          <w:tcPr>
            <w:tcW w:w="60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(10-60)L/min</w:t>
            </w:r>
          </w:p>
        </w:tc>
        <w:tc>
          <w:tcPr>
            <w:tcW w:w="8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*3.7</w:t>
            </w:r>
          </w:p>
        </w:tc>
        <w:tc>
          <w:tcPr>
            <w:tcW w:w="2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雾化功能</w:t>
            </w:r>
          </w:p>
        </w:tc>
        <w:tc>
          <w:tcPr>
            <w:tcW w:w="60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具备雾化功能</w:t>
            </w:r>
          </w:p>
        </w:tc>
        <w:tc>
          <w:tcPr>
            <w:tcW w:w="8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Layout w:type="fixed"/>
          <w:tblCellMar>
            <w:top w:w="0" w:type="dxa"/>
            <w:left w:w="0" w:type="dxa"/>
            <w:bottom w:w="0" w:type="dxa"/>
            <w:right w:w="0" w:type="dxa"/>
          </w:tblCellMar>
        </w:tblPrEx>
        <w:trPr>
          <w:trHeight w:val="0" w:hRule="atLeast"/>
          <w:jc w:val="center"/>
        </w:trPr>
        <w:tc>
          <w:tcPr>
            <w:tcW w:w="1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3.8</w:t>
            </w:r>
          </w:p>
        </w:tc>
        <w:tc>
          <w:tcPr>
            <w:tcW w:w="2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监测功能</w:t>
            </w:r>
          </w:p>
        </w:tc>
        <w:tc>
          <w:tcPr>
            <w:tcW w:w="60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8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3.8.1</w:t>
            </w:r>
          </w:p>
        </w:tc>
        <w:tc>
          <w:tcPr>
            <w:tcW w:w="2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监测参数</w:t>
            </w:r>
          </w:p>
        </w:tc>
        <w:tc>
          <w:tcPr>
            <w:tcW w:w="60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至少具备潮汐量、分钟通气量、呼吸频率、气道峰值压力、PEEP、吸呼比、氧浓度、漏气监测等</w:t>
            </w:r>
          </w:p>
        </w:tc>
        <w:tc>
          <w:tcPr>
            <w:tcW w:w="8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3.8.2</w:t>
            </w:r>
          </w:p>
        </w:tc>
        <w:tc>
          <w:tcPr>
            <w:tcW w:w="2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曲线</w:t>
            </w:r>
          </w:p>
        </w:tc>
        <w:tc>
          <w:tcPr>
            <w:tcW w:w="60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可实时显示压力－时间曲线、容量－时间曲线或流量-时间曲线</w:t>
            </w:r>
          </w:p>
        </w:tc>
        <w:tc>
          <w:tcPr>
            <w:tcW w:w="8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·3.8.3</w:t>
            </w:r>
          </w:p>
        </w:tc>
        <w:tc>
          <w:tcPr>
            <w:tcW w:w="2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呼吸环</w:t>
            </w:r>
          </w:p>
        </w:tc>
        <w:tc>
          <w:tcPr>
            <w:tcW w:w="60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可显示压力-容量环或流量-容量环</w:t>
            </w:r>
          </w:p>
        </w:tc>
        <w:tc>
          <w:tcPr>
            <w:tcW w:w="8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*3.9</w:t>
            </w:r>
          </w:p>
        </w:tc>
        <w:tc>
          <w:tcPr>
            <w:tcW w:w="2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报警要求</w:t>
            </w:r>
          </w:p>
        </w:tc>
        <w:tc>
          <w:tcPr>
            <w:tcW w:w="60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至少具备潮汐量、分钟通气量、漏气、气道压力、氧气浓度、窒息、管路脱落报警等高低报警，具备事件回顾</w:t>
            </w:r>
          </w:p>
        </w:tc>
        <w:tc>
          <w:tcPr>
            <w:tcW w:w="8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Layout w:type="fixed"/>
          <w:tblCellMar>
            <w:top w:w="0" w:type="dxa"/>
            <w:left w:w="0" w:type="dxa"/>
            <w:bottom w:w="0" w:type="dxa"/>
            <w:right w:w="0" w:type="dxa"/>
          </w:tblCellMar>
        </w:tblPrEx>
        <w:trPr>
          <w:trHeight w:val="0" w:hRule="atLeast"/>
          <w:jc w:val="center"/>
        </w:trPr>
        <w:tc>
          <w:tcPr>
            <w:tcW w:w="1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·3.10</w:t>
            </w:r>
          </w:p>
        </w:tc>
        <w:tc>
          <w:tcPr>
            <w:tcW w:w="2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显示屏</w:t>
            </w:r>
          </w:p>
        </w:tc>
        <w:tc>
          <w:tcPr>
            <w:tcW w:w="60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≥15英寸彩色显示器</w:t>
            </w:r>
          </w:p>
        </w:tc>
        <w:tc>
          <w:tcPr>
            <w:tcW w:w="8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3.11</w:t>
            </w:r>
          </w:p>
        </w:tc>
        <w:tc>
          <w:tcPr>
            <w:tcW w:w="2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屏幕显示</w:t>
            </w:r>
          </w:p>
        </w:tc>
        <w:tc>
          <w:tcPr>
            <w:tcW w:w="60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≥5道波形同屏显示，可提供4种环图，支持短趋势、波形、监测值同屏显示</w:t>
            </w:r>
          </w:p>
        </w:tc>
        <w:tc>
          <w:tcPr>
            <w:tcW w:w="8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3.12</w:t>
            </w:r>
          </w:p>
        </w:tc>
        <w:tc>
          <w:tcPr>
            <w:tcW w:w="2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后备电池</w:t>
            </w:r>
          </w:p>
        </w:tc>
        <w:tc>
          <w:tcPr>
            <w:tcW w:w="60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断电后使用时间≥60min</w:t>
            </w:r>
          </w:p>
        </w:tc>
        <w:tc>
          <w:tcPr>
            <w:tcW w:w="8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*3.13</w:t>
            </w:r>
          </w:p>
        </w:tc>
        <w:tc>
          <w:tcPr>
            <w:tcW w:w="2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特殊监测功能</w:t>
            </w:r>
          </w:p>
        </w:tc>
        <w:tc>
          <w:tcPr>
            <w:tcW w:w="60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升级神经调节辅助通气功能或跨肺压监测功能（带同品牌跨肺压监测管）或智能脱机功能</w:t>
            </w:r>
          </w:p>
        </w:tc>
        <w:tc>
          <w:tcPr>
            <w:tcW w:w="8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*3.14</w:t>
            </w:r>
          </w:p>
        </w:tc>
        <w:tc>
          <w:tcPr>
            <w:tcW w:w="2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Style w:val="4"/>
                <w:lang w:val="en-US" w:eastAsia="zh-CN" w:bidi="ar"/>
              </w:rPr>
              <w:t>CO</w:t>
            </w:r>
            <w:r>
              <w:rPr>
                <w:rStyle w:val="5"/>
                <w:lang w:val="en-US" w:eastAsia="zh-CN" w:bidi="ar"/>
              </w:rPr>
              <w:t>2</w:t>
            </w:r>
            <w:r>
              <w:rPr>
                <w:rStyle w:val="4"/>
                <w:lang w:val="en-US" w:eastAsia="zh-CN" w:bidi="ar"/>
              </w:rPr>
              <w:t>监测功能</w:t>
            </w:r>
          </w:p>
        </w:tc>
        <w:tc>
          <w:tcPr>
            <w:tcW w:w="60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Style w:val="4"/>
                <w:lang w:val="en-US" w:eastAsia="zh-CN" w:bidi="ar"/>
              </w:rPr>
              <w:t>升级CO</w:t>
            </w:r>
            <w:r>
              <w:rPr>
                <w:rStyle w:val="6"/>
                <w:lang w:val="en-US" w:eastAsia="zh-CN" w:bidi="ar"/>
              </w:rPr>
              <w:t>2</w:t>
            </w:r>
            <w:r>
              <w:rPr>
                <w:rStyle w:val="7"/>
                <w:lang w:val="en-US" w:eastAsia="zh-CN" w:bidi="ar"/>
              </w:rPr>
              <w:t>监测功能</w:t>
            </w:r>
          </w:p>
        </w:tc>
        <w:tc>
          <w:tcPr>
            <w:tcW w:w="8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·3.15</w:t>
            </w:r>
          </w:p>
        </w:tc>
        <w:tc>
          <w:tcPr>
            <w:tcW w:w="2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呼吸阀</w:t>
            </w:r>
          </w:p>
        </w:tc>
        <w:tc>
          <w:tcPr>
            <w:tcW w:w="60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流量传感器与呼气阀组件一体化设计，能高温高压蒸汽消毒（134°C）</w:t>
            </w:r>
          </w:p>
        </w:tc>
        <w:tc>
          <w:tcPr>
            <w:tcW w:w="8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*3.16</w:t>
            </w:r>
          </w:p>
        </w:tc>
        <w:tc>
          <w:tcPr>
            <w:tcW w:w="2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肺动态视图</w:t>
            </w:r>
          </w:p>
        </w:tc>
        <w:tc>
          <w:tcPr>
            <w:tcW w:w="60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具备肺动态视图</w:t>
            </w:r>
          </w:p>
        </w:tc>
        <w:tc>
          <w:tcPr>
            <w:tcW w:w="8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*3.17</w:t>
            </w:r>
          </w:p>
        </w:tc>
        <w:tc>
          <w:tcPr>
            <w:tcW w:w="2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吸气伺服机构</w:t>
            </w:r>
          </w:p>
        </w:tc>
        <w:tc>
          <w:tcPr>
            <w:tcW w:w="60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气动电控呼吸机，不接受涡轮机</w:t>
            </w:r>
          </w:p>
        </w:tc>
        <w:tc>
          <w:tcPr>
            <w:tcW w:w="8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2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配置要求</w:t>
            </w:r>
          </w:p>
        </w:tc>
        <w:tc>
          <w:tcPr>
            <w:tcW w:w="60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主机、台车、呼吸机管路支架、呼末二氧化碳监测模块、呼吸管路、雾化功能模块，湿化器及升级的特殊监测功能模块</w:t>
            </w:r>
          </w:p>
        </w:tc>
        <w:tc>
          <w:tcPr>
            <w:tcW w:w="8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230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物联网支持功能</w:t>
            </w:r>
          </w:p>
        </w:tc>
        <w:tc>
          <w:tcPr>
            <w:tcW w:w="6000"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8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5.1</w:t>
            </w:r>
          </w:p>
        </w:tc>
        <w:tc>
          <w:tcPr>
            <w:tcW w:w="2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联网要求</w:t>
            </w:r>
          </w:p>
        </w:tc>
        <w:tc>
          <w:tcPr>
            <w:tcW w:w="60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设备具备物联网功能,能够通过有线或者无线的方式联网。数据内容包括设备运行状态和关键系统参数等。对于监护仪、呼吸机等生命支持类设备，应包括波形、体征、报警等信息。</w:t>
            </w:r>
          </w:p>
        </w:tc>
        <w:tc>
          <w:tcPr>
            <w:tcW w:w="8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5.2</w:t>
            </w:r>
          </w:p>
        </w:tc>
        <w:tc>
          <w:tcPr>
            <w:tcW w:w="2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技术文件</w:t>
            </w:r>
          </w:p>
        </w:tc>
        <w:tc>
          <w:tcPr>
            <w:tcW w:w="60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设备厂商向院方提供详细的有关接口形式和数据传输协议的说明文档，交由物联网项目组验收,并配合院方解决设备联网相关问题。</w:t>
            </w:r>
          </w:p>
        </w:tc>
        <w:tc>
          <w:tcPr>
            <w:tcW w:w="8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c>
          <w:tcPr>
            <w:tcW w:w="2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售后条款</w:t>
            </w:r>
          </w:p>
        </w:tc>
        <w:tc>
          <w:tcPr>
            <w:tcW w:w="60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83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*6.1</w:t>
            </w:r>
          </w:p>
        </w:tc>
        <w:tc>
          <w:tcPr>
            <w:tcW w:w="2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原厂保修年限</w:t>
            </w:r>
          </w:p>
        </w:tc>
        <w:tc>
          <w:tcPr>
            <w:tcW w:w="60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≥3年，保修期内开机率不低于95%（按365日/年计算，含节假日)，未达到要求的开机率天数，按双倍天数顺延保修期。</w:t>
            </w:r>
          </w:p>
        </w:tc>
        <w:tc>
          <w:tcPr>
            <w:tcW w:w="8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*6.2</w:t>
            </w:r>
          </w:p>
        </w:tc>
        <w:tc>
          <w:tcPr>
            <w:tcW w:w="2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零配件支持</w:t>
            </w:r>
          </w:p>
        </w:tc>
        <w:tc>
          <w:tcPr>
            <w:tcW w:w="60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提供消耗性配件（年平均更换大于1次的配件）和高值配件（价格大于设备成交价5%以上）的报价清单，且高值配件报价之和不得高于设备成交价的110%，不在上述要求配件清单内的消耗性配件和高值配件视为免费提供</w:t>
            </w:r>
          </w:p>
        </w:tc>
        <w:tc>
          <w:tcPr>
            <w:tcW w:w="8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6.3</w:t>
            </w:r>
          </w:p>
        </w:tc>
        <w:tc>
          <w:tcPr>
            <w:tcW w:w="2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零配件保证供应时长</w:t>
            </w:r>
          </w:p>
        </w:tc>
        <w:tc>
          <w:tcPr>
            <w:tcW w:w="60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厂家自报</w:t>
            </w:r>
          </w:p>
        </w:tc>
        <w:tc>
          <w:tcPr>
            <w:tcW w:w="8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6.4</w:t>
            </w:r>
          </w:p>
        </w:tc>
        <w:tc>
          <w:tcPr>
            <w:tcW w:w="2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到位维修响应</w:t>
            </w:r>
          </w:p>
        </w:tc>
        <w:tc>
          <w:tcPr>
            <w:tcW w:w="60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维修到达现场时间≤0.5个工作日（京内）</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维修到达现场时间≤3个工作日（京外）</w:t>
            </w:r>
          </w:p>
        </w:tc>
        <w:tc>
          <w:tcPr>
            <w:tcW w:w="8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*6.5</w:t>
            </w:r>
          </w:p>
        </w:tc>
        <w:tc>
          <w:tcPr>
            <w:tcW w:w="2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保修期外维修费用</w:t>
            </w:r>
          </w:p>
        </w:tc>
        <w:tc>
          <w:tcPr>
            <w:tcW w:w="60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提供免费保修期外的年度整机保修费用价格，提供维修工时费计算方法及价格</w:t>
            </w:r>
          </w:p>
        </w:tc>
        <w:tc>
          <w:tcPr>
            <w:tcW w:w="8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·6.6</w:t>
            </w:r>
          </w:p>
        </w:tc>
        <w:tc>
          <w:tcPr>
            <w:tcW w:w="2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技术支持和服务网点</w:t>
            </w:r>
          </w:p>
        </w:tc>
        <w:tc>
          <w:tcPr>
            <w:tcW w:w="60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提供全国主要城市售后服务网点及售后人员数量</w:t>
            </w:r>
          </w:p>
        </w:tc>
        <w:tc>
          <w:tcPr>
            <w:tcW w:w="8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·6.7</w:t>
            </w:r>
          </w:p>
        </w:tc>
        <w:tc>
          <w:tcPr>
            <w:tcW w:w="2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升级与软件维护</w:t>
            </w:r>
          </w:p>
        </w:tc>
        <w:tc>
          <w:tcPr>
            <w:tcW w:w="60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保修期内免费升级和软件维护；保修期外，原软件维护仅收工时费</w:t>
            </w:r>
          </w:p>
        </w:tc>
        <w:tc>
          <w:tcPr>
            <w:tcW w:w="8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·6.8</w:t>
            </w:r>
          </w:p>
        </w:tc>
        <w:tc>
          <w:tcPr>
            <w:tcW w:w="2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专用工具、资料及其它</w:t>
            </w:r>
          </w:p>
        </w:tc>
        <w:tc>
          <w:tcPr>
            <w:tcW w:w="60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提供设备配套的维修专用工具，资料（操作手册、维修手册等）</w:t>
            </w:r>
          </w:p>
        </w:tc>
        <w:tc>
          <w:tcPr>
            <w:tcW w:w="8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·6.9</w:t>
            </w:r>
          </w:p>
        </w:tc>
        <w:tc>
          <w:tcPr>
            <w:tcW w:w="2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培训</w:t>
            </w:r>
          </w:p>
        </w:tc>
        <w:tc>
          <w:tcPr>
            <w:tcW w:w="60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提供使用培训和工程师原厂培训</w:t>
            </w:r>
          </w:p>
        </w:tc>
        <w:tc>
          <w:tcPr>
            <w:tcW w:w="8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6.10 </w:t>
            </w:r>
          </w:p>
        </w:tc>
        <w:tc>
          <w:tcPr>
            <w:tcW w:w="2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交货期</w:t>
            </w:r>
          </w:p>
        </w:tc>
        <w:tc>
          <w:tcPr>
            <w:tcW w:w="60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合同签订后3个月内交货</w:t>
            </w:r>
          </w:p>
        </w:tc>
        <w:tc>
          <w:tcPr>
            <w:tcW w:w="8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294"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备注：1.加注“*”号的技术指标为关键指标，≥1项未达到招标文件要求，即做废标处理。</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 xml:space="preserve">      2.加注“·”号的技术指标为重要指标。</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 xml:space="preserve">      3.加注“*”、“·”号的技术指标均需投标企业提供证明材料。</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altName w:val="宋体-方正超大字符集"/>
    <w:panose1 w:val="00000000000000000000"/>
    <w:charset w:val="00"/>
    <w:family w:val="auto"/>
    <w:pitch w:val="default"/>
    <w:sig w:usb0="00000000" w:usb1="00000000" w:usb2="00000000" w:usb3="00000000" w:csb0="00000000" w:csb1="00000000"/>
  </w:font>
  <w:font w:name="等线">
    <w:altName w:val="Latha"/>
    <w:panose1 w:val="00000000000000000000"/>
    <w:charset w:val="00"/>
    <w:family w:val="auto"/>
    <w:pitch w:val="default"/>
    <w:sig w:usb0="00000000" w:usb1="00000000" w:usb2="00000000" w:usb3="00000000" w:csb0="00000000" w:csb1="00000000"/>
  </w:font>
  <w:font w:name="宋体-方正超大字符集">
    <w:panose1 w:val="03000509000000000000"/>
    <w:charset w:val="86"/>
    <w:family w:val="auto"/>
    <w:pitch w:val="default"/>
    <w:sig w:usb0="00000001" w:usb1="080E0000" w:usb2="00000000" w:usb3="00000000" w:csb0="00040000" w:csb1="00000000"/>
  </w:font>
  <w:font w:name="Tahoma">
    <w:panose1 w:val="020B0604030504040204"/>
    <w:charset w:val="00"/>
    <w:family w:val="auto"/>
    <w:pitch w:val="default"/>
    <w:sig w:usb0="61007A87" w:usb1="80000000" w:usb2="00000008" w:usb3="00000000" w:csb0="200101FF" w:csb1="20280000"/>
  </w:font>
  <w:font w:name="Latha">
    <w:panose1 w:val="02000400000000000000"/>
    <w:charset w:val="00"/>
    <w:family w:val="auto"/>
    <w:pitch w:val="default"/>
    <w:sig w:usb0="001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E13B45"/>
    <w:rsid w:val="2F031C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 w:type="character" w:customStyle="1" w:styleId="4">
    <w:name w:val="font01"/>
    <w:basedOn w:val="3"/>
    <w:qFormat/>
    <w:uiPriority w:val="0"/>
    <w:rPr>
      <w:rFonts w:hint="eastAsia" w:ascii="宋体" w:hAnsi="宋体" w:eastAsia="宋体" w:cs="宋体"/>
      <w:color w:val="000000"/>
      <w:sz w:val="22"/>
      <w:szCs w:val="22"/>
      <w:u w:val="none"/>
    </w:rPr>
  </w:style>
  <w:style w:type="character" w:customStyle="1" w:styleId="5">
    <w:name w:val="font131"/>
    <w:basedOn w:val="3"/>
    <w:qFormat/>
    <w:uiPriority w:val="0"/>
    <w:rPr>
      <w:rFonts w:hint="eastAsia" w:ascii="宋体" w:hAnsi="宋体" w:eastAsia="宋体" w:cs="宋体"/>
      <w:color w:val="000000"/>
      <w:sz w:val="22"/>
      <w:szCs w:val="22"/>
      <w:u w:val="none"/>
      <w:vertAlign w:val="subscript"/>
    </w:rPr>
  </w:style>
  <w:style w:type="character" w:customStyle="1" w:styleId="6">
    <w:name w:val="font31"/>
    <w:basedOn w:val="3"/>
    <w:qFormat/>
    <w:uiPriority w:val="0"/>
    <w:rPr>
      <w:rFonts w:hint="eastAsia" w:ascii="宋体" w:hAnsi="宋体" w:eastAsia="宋体" w:cs="宋体"/>
      <w:color w:val="000000"/>
      <w:sz w:val="24"/>
      <w:szCs w:val="24"/>
      <w:u w:val="none"/>
      <w:vertAlign w:val="subscript"/>
    </w:rPr>
  </w:style>
  <w:style w:type="character" w:customStyle="1" w:styleId="7">
    <w:name w:val="font12"/>
    <w:basedOn w:val="3"/>
    <w:qFormat/>
    <w:uiPriority w:val="0"/>
    <w:rPr>
      <w:rFonts w:hint="eastAsia" w:ascii="宋体" w:hAnsi="宋体" w:eastAsia="宋体" w:cs="宋体"/>
      <w:color w:val="000000"/>
      <w:sz w:val="24"/>
      <w:szCs w:val="24"/>
      <w:u w:val="none"/>
    </w:rPr>
  </w:style>
  <w:style w:type="character" w:customStyle="1" w:styleId="8">
    <w:name w:val="font91"/>
    <w:basedOn w:val="3"/>
    <w:qFormat/>
    <w:uiPriority w:val="0"/>
    <w:rPr>
      <w:rFonts w:hint="default" w:ascii="Wingdings" w:hAnsi="Wingdings" w:cs="Wingdings"/>
      <w:color w:val="000000"/>
      <w:sz w:val="22"/>
      <w:szCs w:val="22"/>
      <w:u w:val="none"/>
    </w:rPr>
  </w:style>
  <w:style w:type="character" w:customStyle="1" w:styleId="9">
    <w:name w:val="font61"/>
    <w:basedOn w:val="3"/>
    <w:qFormat/>
    <w:uiPriority w:val="0"/>
    <w:rPr>
      <w:rFonts w:hint="default" w:ascii="Times New Roman" w:hAnsi="Times New Roman" w:cs="Times New Roman"/>
      <w:color w:val="000000"/>
      <w:sz w:val="24"/>
      <w:szCs w:val="24"/>
      <w:u w:val="none"/>
    </w:rPr>
  </w:style>
  <w:style w:type="character" w:customStyle="1" w:styleId="10">
    <w:name w:val="font141"/>
    <w:basedOn w:val="3"/>
    <w:qFormat/>
    <w:uiPriority w:val="0"/>
    <w:rPr>
      <w:rFonts w:hint="eastAsia" w:ascii="宋体" w:hAnsi="宋体" w:eastAsia="宋体" w:cs="宋体"/>
      <w:color w:val="000000"/>
      <w:sz w:val="40"/>
      <w:szCs w:val="4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Office_11.3.0.8775_F1E327BC-269C-435d-A152-05C5408002CA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2023-05-06T09:07:00Z</dcterms:created>
  <dc:creator>doctor</dc:creator>
  <cp:lastModifiedBy>doctor</cp:lastModifiedBy>
  <dcterms:modified xsi:type="dcterms:W3CDTF">2023-05-08T08:06:04Z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