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491" w:type="dxa"/>
        <w:jc w:val="center"/>
        <w:tblInd w:w="0" w:type="dxa"/>
        <w:shd w:val="clear"/>
        <w:tblLayout w:type="fixed"/>
        <w:tblCellMar>
          <w:top w:w="0" w:type="dxa"/>
          <w:left w:w="0" w:type="dxa"/>
          <w:bottom w:w="0" w:type="dxa"/>
          <w:right w:w="0" w:type="dxa"/>
        </w:tblCellMar>
      </w:tblPr>
      <w:tblGrid>
        <w:gridCol w:w="1298"/>
        <w:gridCol w:w="1937"/>
        <w:gridCol w:w="709"/>
        <w:gridCol w:w="2263"/>
        <w:gridCol w:w="1050"/>
        <w:gridCol w:w="2388"/>
        <w:gridCol w:w="846"/>
      </w:tblGrid>
      <w:tr>
        <w:tblPrEx>
          <w:shd w:val="clear"/>
          <w:tblLayout w:type="fixed"/>
          <w:tblCellMar>
            <w:top w:w="0" w:type="dxa"/>
            <w:left w:w="0" w:type="dxa"/>
            <w:bottom w:w="0" w:type="dxa"/>
            <w:right w:w="0" w:type="dxa"/>
          </w:tblCellMar>
        </w:tblPrEx>
        <w:trPr>
          <w:trHeight w:val="762" w:hRule="atLeast"/>
          <w:jc w:val="center"/>
        </w:trPr>
        <w:tc>
          <w:tcPr>
            <w:tcW w:w="10491"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设备名称</w:t>
            </w:r>
          </w:p>
        </w:tc>
        <w:tc>
          <w:tcPr>
            <w:tcW w:w="264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心电监护仪</w:t>
            </w:r>
          </w:p>
        </w:tc>
        <w:tc>
          <w:tcPr>
            <w:tcW w:w="22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总数量（台/套）</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100</w:t>
            </w:r>
          </w:p>
        </w:tc>
        <w:tc>
          <w:tcPr>
            <w:tcW w:w="238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预算总金额（万元）</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等线" w:eastAsia="黑体" w:cs="黑体"/>
                <w:i w:val="0"/>
                <w:color w:val="000000"/>
                <w:sz w:val="24"/>
                <w:szCs w:val="24"/>
                <w:u w:val="none"/>
              </w:rPr>
            </w:pPr>
            <w:r>
              <w:rPr>
                <w:rFonts w:hint="eastAsia" w:ascii="黑体" w:hAnsi="等线" w:eastAsia="黑体" w:cs="黑体"/>
                <w:i w:val="0"/>
                <w:color w:val="000000"/>
                <w:kern w:val="0"/>
                <w:sz w:val="24"/>
                <w:szCs w:val="24"/>
                <w:u w:val="none"/>
                <w:bdr w:val="none" w:color="auto" w:sz="0" w:space="0"/>
                <w:lang w:val="en-US" w:eastAsia="zh-CN" w:bidi="ar"/>
              </w:rPr>
              <w:t>200</w:t>
            </w:r>
          </w:p>
        </w:tc>
      </w:tr>
      <w:tr>
        <w:tblPrEx>
          <w:tblLayout w:type="fixed"/>
          <w:tblCellMar>
            <w:top w:w="0" w:type="dxa"/>
            <w:left w:w="0" w:type="dxa"/>
            <w:bottom w:w="0" w:type="dxa"/>
            <w:right w:w="0" w:type="dxa"/>
          </w:tblCellMar>
        </w:tblPrEx>
        <w:trPr>
          <w:trHeight w:val="615"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序号</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技术和性能参数名称</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招标参数和性能要求</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适用于成人、小儿的床边监护，满足临床中的使用需求</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具备CFDA认证和（FDA或CE）认证</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显示屏</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≥12英寸彩色显示触摸屏</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显示屏最小可视角度</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可监测参数</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至少包含心电、血氧饱和度、无创血压、呼吸、脉搏、体温</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心电监测</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心率测量范围</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（30-200）次/分钟，最大误差±（示值的5%+1）次/分钟</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QT/QTc分析</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QT/QTc连续实时测量,以及QT/QTc显示查询功能</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r>
              <w:rPr>
                <w:rStyle w:val="4"/>
                <w:bdr w:val="none" w:color="auto" w:sz="0" w:space="0"/>
                <w:lang w:val="en-US" w:eastAsia="zh-CN" w:bidi="ar"/>
              </w:rPr>
              <w:t>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心律失常分析</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≥25种</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血氧饱和度监测</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70</w:t>
            </w:r>
            <w:r>
              <w:rPr>
                <w:rStyle w:val="4"/>
                <w:bdr w:val="none" w:color="auto" w:sz="0" w:space="0"/>
                <w:lang w:val="en-US" w:eastAsia="zh-CN" w:bidi="ar"/>
              </w:rPr>
              <w:t>%-100%，最大误差±2%</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脉搏监测</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（30-200）次/分钟，最大误差±（示值的5%+1）次/分钟</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无创血压监测</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测量模式</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手动、自动、连续模式和序列4种测量模式，并提供24小时血压统计结果</w:t>
            </w:r>
            <w:bookmarkStart w:id="0" w:name="_GoBack"/>
            <w:bookmarkEnd w:id="0"/>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静态压力测量范围</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（0-260）mmHg,最大误差±3mmHg</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过压保护</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具备成人、儿童分段过压保护功能</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·3.7.4</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自动测量周期</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自动测量周期范围（1-120）分钟,并提供24小时血压统计结果</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呼吸监测</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呼吸频率范围</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成人监测范围(0-60)次/分钟，最大误差±2次/分钟</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呼吸暂停报警</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具备呼吸暂停报警功能</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体温</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(0-45)℃，最大误差±0.1℃</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·3.10</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报警及安全指标</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1、监护仪具有声光报警，报警音量可调节；</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2、监护仪具有上下限报警，窒息报警；</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3、使用220V交流市电，插头为国标三插插头；</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4、具备电池电量低报警，支持图形化报警功能</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临床评分系统</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配置临床评分系统，包括MEWS（改良早期预警评分）、NEWS（英国早期预警评分），可支持定时自动早期预警评分功能</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配置要求(单台套）</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内置打印机</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心电导联线</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血氧指夹</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袖带</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≥2套</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温度探头</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≥1套</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19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物联网支持功能</w:t>
            </w:r>
          </w:p>
        </w:tc>
        <w:tc>
          <w:tcPr>
            <w:tcW w:w="641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联网要求</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设备具备物联网功能,能够通过有线或者无线的方式联网。数据内容包括设备运行状态和关键系统参数等。对于监护仪、呼吸机等生命支持类设备，应包括波形、体征、报警等信息。</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技术文件</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设备厂商向院方提供详细的有关接口形式和数据传输协议的说明文档，交由物联网项目组验收,并配合院方解决设备联网相关问题。</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46"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原厂保修年限</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零配件支持</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零配件保证供应时长</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到位维修响应</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保修期外维修费用</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提供免费保修期外的年度整机保修费用价格，提供维修工时费计算方法及价格</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技术支持和服务网点</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提供全国主要城市售后服务网点及售后人员数量</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·6.7</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提供设备配套的维修专用工具，资料（操作手册、维修手册等）</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提供使用培训和工程师原厂培训</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2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6.10 </w:t>
            </w:r>
          </w:p>
        </w:tc>
        <w:tc>
          <w:tcPr>
            <w:tcW w:w="19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641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8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491"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Latha"/>
    <w:panose1 w:val="00000000000000000000"/>
    <w:charset w:val="00"/>
    <w:family w:val="auto"/>
    <w:pitch w:val="default"/>
    <w:sig w:usb0="00000000" w:usb1="00000000" w:usb2="00000000" w:usb3="00000000" w:csb0="00000000" w:csb1="00000000"/>
  </w:font>
  <w:font w:name="幼圆">
    <w:panose1 w:val="0201050906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Latha">
    <w:panose1 w:val="02000400000000000000"/>
    <w:charset w:val="00"/>
    <w:family w:val="auto"/>
    <w:pitch w:val="default"/>
    <w:sig w:usb0="001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31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61"/>
    <w:basedOn w:val="3"/>
    <w:uiPriority w:val="0"/>
    <w:rPr>
      <w:rFonts w:hint="eastAsia" w:ascii="宋体" w:hAnsi="宋体" w:eastAsia="宋体" w:cs="宋体"/>
      <w:color w:val="000000"/>
      <w:sz w:val="22"/>
      <w:szCs w:val="22"/>
      <w:u w:val="none"/>
    </w:rPr>
  </w:style>
  <w:style w:type="character" w:customStyle="1" w:styleId="5">
    <w:name w:val="font111"/>
    <w:basedOn w:val="3"/>
    <w:uiPriority w:val="0"/>
    <w:rPr>
      <w:rFonts w:hint="default" w:ascii="Wingdings" w:hAnsi="Wingdings" w:cs="Wingdings"/>
      <w:color w:val="000000"/>
      <w:sz w:val="22"/>
      <w:szCs w:val="22"/>
      <w:u w:val="none"/>
    </w:rPr>
  </w:style>
  <w:style w:type="character" w:customStyle="1" w:styleId="6">
    <w:name w:val="font71"/>
    <w:basedOn w:val="3"/>
    <w:uiPriority w:val="0"/>
    <w:rPr>
      <w:rFonts w:hint="eastAsia" w:ascii="宋体" w:hAnsi="宋体" w:eastAsia="宋体" w:cs="宋体"/>
      <w:color w:val="000000"/>
      <w:sz w:val="24"/>
      <w:szCs w:val="24"/>
      <w:u w:val="none"/>
    </w:rPr>
  </w:style>
  <w:style w:type="character" w:customStyle="1" w:styleId="7">
    <w:name w:val="font132"/>
    <w:basedOn w:val="3"/>
    <w:uiPriority w:val="0"/>
    <w:rPr>
      <w:rFonts w:hint="default" w:ascii="Times New Roman" w:hAnsi="Times New Roman" w:cs="Times New Roman"/>
      <w:color w:val="000000"/>
      <w:sz w:val="24"/>
      <w:szCs w:val="24"/>
      <w:u w:val="none"/>
    </w:rPr>
  </w:style>
  <w:style w:type="character" w:customStyle="1" w:styleId="8">
    <w:name w:val="font14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2023-05-06T02:11:30Z</dcterms:created>
  <dc:creator>doctor</dc:creator>
  <cp:lastModifiedBy>doctor</cp:lastModifiedBy>
  <dcterms:modified xsi:type="dcterms:W3CDTF">2023-05-06T02:14:44Z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