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numId w:val="0"/>
        </w:numPr>
        <w:adjustRightInd w:val="0"/>
        <w:snapToGrid w:val="0"/>
        <w:spacing w:line="560" w:lineRule="exact"/>
        <w:ind w:leftChars="0"/>
        <w:jc w:val="center"/>
        <w:rPr>
          <w:rFonts w:hint="eastAsia"/>
          <w:b w:val="0"/>
          <w:szCs w:val="44"/>
          <w:lang w:val="zh-CN"/>
        </w:rPr>
      </w:pPr>
      <w:bookmarkStart w:id="13" w:name="_GoBack"/>
      <w:bookmarkEnd w:id="13"/>
      <w:bookmarkStart w:id="0" w:name="_Toc130888005"/>
      <w:bookmarkStart w:id="1" w:name="_Toc128470293"/>
      <w:bookmarkStart w:id="2" w:name="_Toc128154366"/>
      <w:bookmarkStart w:id="3" w:name="_Toc130661176"/>
      <w:bookmarkStart w:id="4" w:name="_Toc9692"/>
      <w:bookmarkStart w:id="5" w:name="_Toc132191257"/>
      <w:bookmarkStart w:id="6" w:name="_Toc112768491"/>
      <w:bookmarkStart w:id="7" w:name="_Toc32050"/>
      <w:bookmarkStart w:id="8" w:name="_Toc112317781"/>
      <w:bookmarkStart w:id="9" w:name="_Toc30564"/>
      <w:bookmarkStart w:id="10" w:name="_Toc28545"/>
      <w:bookmarkStart w:id="11" w:name="_Toc132186973"/>
      <w:bookmarkStart w:id="12" w:name="_Toc21632"/>
      <w:r>
        <w:rPr>
          <w:rFonts w:hint="eastAsia"/>
          <w:b w:val="0"/>
          <w:szCs w:val="44"/>
          <w:lang w:val="zh-CN" w:eastAsia="zh-CN"/>
        </w:rPr>
        <w:t>第六章</w:t>
      </w:r>
      <w:r>
        <w:rPr>
          <w:rFonts w:hint="eastAsia"/>
          <w:b w:val="0"/>
          <w:szCs w:val="44"/>
          <w:lang w:val="en-US" w:eastAsia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5"/>
        <w:tblW w:w="95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"/>
        <w:gridCol w:w="1595"/>
        <w:gridCol w:w="6000"/>
        <w:gridCol w:w="11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构建完整的营养诊疗体系，实现营养筛查、营养评估、营养诊断、营养干预、营养监测、营养诊疗收费的全流程信息化管理；实现肠内营养规范化管理，降低药占比和规范化管理水平的同时，实现营养科与临床科室MDT多科室协作，提升患者诊疗效果；实现以临床为主导的全院患者营养风险筛查管理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a. 配置要求：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 数据服务器 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移动PAD 2 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 标签打印机 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 营养门诊咨询管理子系统 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 住院患者营养诊疗子系统 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b. 软硬件均为国产品牌。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提供营养相关计算机软件著作权证书。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1.项目经理具有信息系统项目管理师高级证书。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2.项目团队成员至少有1人具有全国计算机技术与软件专业技术资格（水平）考试计算机软件高级程序员证书。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数据服务器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1、机架式服务器；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2、配置：≥2颗CPU*10核以上，≥64G内存，硬盘RAID后≥8TB，硬盘维保不得回收旧盘；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3、≥2个千兆以太网口；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4、要求配备冗余电源、冗余风扇；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5、要求主流国产品牌。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移动PAD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1.CPU核数≥8核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2.内存≥8GB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3.硬盘容量≥256GB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4.支持WiFi模式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5.显示屏尺寸≥10英寸显示屏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6.显示屏分辨率≥ 2560x1600像素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标签打印机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1.打印速度≥102mm/s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2.打印类型热敏/热转印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3.打印宽度≥108mm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4.碳带容量≥260*215*175mm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5.支持主流操作系统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营养门诊咨询管理子系统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患者档案管理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包含基本信息、姓名、性别、身高、出生日期等。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营养评估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包括体格评估、生化评估等。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•6.1.3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膳食调查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包括精确法和膳食调查交换份法及专用膳食调查法等。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6.1.4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营养素设置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可涵盖宏量及微量营养素。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6.1.5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食谱制定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可包括精确法和交换份法两种配餐方法。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6.1.6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营养评价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支持营养不良风险和重度营养不良等评价。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6.1.7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肠内营养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支持开立肠内配置医嘱及整取医嘱。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6.1.8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营养建议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支持根据患者疾病生成营养指导建议。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6.1.9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营养门诊报告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营养门诊报告并可导出和打印，如患者信息、体格、营养评估、膳食调查、肠内营养、营养建议等。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住院患者营养诊疗子系统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包括在院患者、会诊患者、筛查患者等。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患者营养病历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包括营养筛查、评估、诊断、治疗方案、病程记录、宣教、监测出院营养医嘱等内容营养病历规范符合等级医院评审要求。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风险筛查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患者营养风险筛查，应包含有风险的患者跟复查的患者。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6.2.4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营养治疗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营养支持路径包括：肠外、肠内、治疗膳食等。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6.2.5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肠内营养管理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按照临床医嘱进行营养医嘱干预。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6.2.6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肠内营养标签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支持打印对应标签内容，可包含营养成分、患者信息、注意事项等。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6.2.7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肠内营养统计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可查询病人、科室医嘱明细单，支持按照肠内营养产品使用数量，单位等进行统计。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6.2.8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库存管理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支持对肠内营养制剂库存进行管理，入库查询、出库查询、库存盘点、退库等。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6.2.9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质控管理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支持按照国家要求的质控报表，工作量进行统计。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•6.2.10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数据展示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支持每日会诊、肠内营养制剂配置、营养风险筛查、肠内营养制剂临期、营养制剂库存不足等数据展示。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支持按照医院现有系统接入标准与医院各在用系统（包括但不限于HIS、LIS、PACS、EMRS）进行对接，系统对接所产生的接口费用由投标人自行承担。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*8.1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数据交付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系统上线后，系统数据库管理员用户密码及全部数据结构需交付信息科，并随系统升级更新交付。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*8.2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容灾备份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提供数据备份机制、数据重建机制，数据库需根据院方要求配合院方纳入容灾平台、离线备份平台、数据库监控平台、数据资源平台。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·8.3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国产化迁移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维保期内需根据要求进行数据库国产化迁移及应用适配，维保期外适配费用不得高于总合同款项1%。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自验收之日起，软件和硬件免费维保期≥3年。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定期维护保养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维保期内提供每季度一次的维护保养服务。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保修期内免费升级和软件维护。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5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提供7*24小时技术服务支持，响应时间≤1小时；非工作日及夜间故障响应时间≤2小时；出现影响系统的严重故障时，维护人员到达现场维护时间≤2小时，故障解决时间≤12小时；特殊情况预计在12小时之内无法修复的，应在故障发生的2小时内通知用户方，由双方协商解决，并提供解决方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2.服务团队具有快速的服务应急响应机制，提供应急响应方案，如发生紧急故障，在得到用户通知后，应在15分钟内做出电话响应，1小时内派工程师到达现场协调解决问题。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按甲方需求提供操作人员培训及管理人员培训。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合同签订后3个月内交货。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9.7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硬件设备到货且软件安装后付30%，系统稳定运行且验收合格后付65%，质保期满后付5%。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5" w:hRule="atLeast"/>
          <w:jc w:val="center"/>
        </w:trPr>
        <w:tc>
          <w:tcPr>
            <w:tcW w:w="9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本项目所有技术参数均需响应，不允许负偏离，≥1项未达到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 w:bidi="ar"/>
              </w:rPr>
              <w:t>谈判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文件要求，即做废标处理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bidi="ar"/>
              </w:rPr>
              <w:t>。</w:t>
            </w:r>
          </w:p>
          <w:p>
            <w:pPr>
              <w:ind w:firstLine="720" w:firstLineChars="300"/>
              <w:jc w:val="both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bidi="ar"/>
              </w:rPr>
              <w:t>加注“*”、“·”号的技术指标均需投标企业提供证明材料。</w:t>
            </w:r>
          </w:p>
          <w:p>
            <w:pPr>
              <w:ind w:firstLine="723" w:firstLineChars="300"/>
              <w:jc w:val="both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 w:bidi="ar"/>
              </w:rPr>
              <w:t>供应商须提供相关技术指标证明材料予以佐证（证明材料不限于资质证书、业绩案例、响应承诺，以及产品规格表、制造商官方网站发布的产品信息、说明书等或检测机构出具的检测报告等技术资料支持的产品彩页、技术白皮书、厂家出具的技术证明文件、实物照片、软件功能截图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B5A39"/>
    <w:rsid w:val="4F9B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2023-08-07T09:57:00Z</dcterms:created>
  <dc:creator>why</dc:creator>
  <cp:lastModifiedBy>why</cp:lastModifiedBy>
  <dcterms:modified xsi:type="dcterms:W3CDTF">2023-08-07T09:58:19Z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