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eastAsia="方正小标宋简体"/>
        </w:rPr>
      </w:pPr>
      <w:r>
        <w:rPr>
          <w:rFonts w:hint="eastAsia" w:ascii="方正小标宋简体" w:eastAsia="方正小标宋简体"/>
        </w:rPr>
        <w:t>采购项目商务和技术要求</w:t>
      </w:r>
    </w:p>
    <w:tbl>
      <w:tblPr>
        <w:tblStyle w:val="4"/>
        <w:tblpPr w:leftFromText="180" w:rightFromText="180" w:vertAnchor="text" w:horzAnchor="margin" w:tblpXSpec="center" w:tblpY="314"/>
        <w:tblW w:w="9724" w:type="dxa"/>
        <w:tblInd w:w="328" w:type="dxa"/>
        <w:tblLayout w:type="autofit"/>
        <w:tblCellMar>
          <w:top w:w="0" w:type="dxa"/>
          <w:left w:w="108" w:type="dxa"/>
          <w:bottom w:w="0" w:type="dxa"/>
          <w:right w:w="108" w:type="dxa"/>
        </w:tblCellMar>
      </w:tblPr>
      <w:tblGrid>
        <w:gridCol w:w="1024"/>
        <w:gridCol w:w="1767"/>
        <w:gridCol w:w="6933"/>
      </w:tblGrid>
      <w:tr>
        <w:tblPrEx>
          <w:tblCellMar>
            <w:top w:w="0" w:type="dxa"/>
            <w:left w:w="108" w:type="dxa"/>
            <w:bottom w:w="0" w:type="dxa"/>
            <w:right w:w="108" w:type="dxa"/>
          </w:tblCellMar>
        </w:tblPrEx>
        <w:trPr>
          <w:trHeight w:val="450"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黑体" w:hAnsi="宋体" w:eastAsia="黑体" w:cs="宋体"/>
                <w:b/>
                <w:bCs/>
                <w:kern w:val="0"/>
                <w:sz w:val="24"/>
              </w:rPr>
            </w:pPr>
            <w:r>
              <w:rPr>
                <w:rFonts w:hint="eastAsia" w:ascii="黑体" w:hAnsi="宋体" w:eastAsia="黑体" w:cs="宋体"/>
                <w:b/>
                <w:bCs/>
                <w:kern w:val="0"/>
                <w:sz w:val="24"/>
              </w:rPr>
              <w:t>序号</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黑体" w:hAnsi="宋体" w:eastAsia="黑体" w:cs="宋体"/>
                <w:b/>
                <w:bCs/>
                <w:kern w:val="0"/>
                <w:sz w:val="24"/>
              </w:rPr>
            </w:pPr>
            <w:r>
              <w:rPr>
                <w:rFonts w:hint="eastAsia" w:ascii="黑体" w:hAnsi="宋体" w:eastAsia="黑体" w:cs="宋体"/>
                <w:b/>
                <w:bCs/>
                <w:kern w:val="0"/>
                <w:sz w:val="24"/>
              </w:rPr>
              <w:t>需求名称</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黑体" w:hAnsi="宋体" w:eastAsia="黑体" w:cs="宋体"/>
                <w:b/>
                <w:bCs/>
                <w:kern w:val="0"/>
                <w:sz w:val="24"/>
              </w:rPr>
            </w:pPr>
            <w:r>
              <w:rPr>
                <w:rFonts w:hint="eastAsia" w:ascii="黑体" w:hAnsi="宋体" w:eastAsia="黑体" w:cs="宋体"/>
                <w:b/>
                <w:bCs/>
                <w:kern w:val="0"/>
                <w:sz w:val="24"/>
              </w:rPr>
              <w:t>技术参数和需求内容</w:t>
            </w:r>
          </w:p>
        </w:tc>
      </w:tr>
      <w:tr>
        <w:tblPrEx>
          <w:tblCellMar>
            <w:top w:w="0" w:type="dxa"/>
            <w:left w:w="108" w:type="dxa"/>
            <w:bottom w:w="0" w:type="dxa"/>
            <w:right w:w="108" w:type="dxa"/>
          </w:tblCellMar>
        </w:tblPrEx>
        <w:trPr>
          <w:trHeight w:val="1321"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服务要求</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完成某单位2022年4月1日之前的病案数字化扫描转化外包服务，扫描量大约为3000万页。服务公司按甲方要求设计和相关保密规定按时完成，数字化的病案要求合格率100%，数字化病案所有权归甲方，服务期为2年。建立病案数字化管理系统，与HIS连接。建立整套病案信息管理系统。</w:t>
            </w:r>
          </w:p>
        </w:tc>
      </w:tr>
      <w:tr>
        <w:tblPrEx>
          <w:tblCellMar>
            <w:top w:w="0" w:type="dxa"/>
            <w:left w:w="108" w:type="dxa"/>
            <w:bottom w:w="0" w:type="dxa"/>
            <w:right w:w="108" w:type="dxa"/>
          </w:tblCellMar>
        </w:tblPrEx>
        <w:trPr>
          <w:trHeight w:val="1252"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2</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人员资格</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numPr>
                <w:ilvl w:val="0"/>
                <w:numId w:val="0"/>
              </w:numPr>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项目经理具备病案数字化管理经验不低于5年，并附项目管理履历和服务医疗项目说明</w:t>
            </w:r>
          </w:p>
          <w:p>
            <w:pPr>
              <w:widowControl/>
              <w:numPr>
                <w:ilvl w:val="0"/>
                <w:numId w:val="0"/>
              </w:numPr>
              <w:jc w:val="left"/>
              <w:rPr>
                <w:rFonts w:hint="eastAsia" w:ascii="宋体" w:hAnsi="宋体" w:eastAsia="宋体" w:cs="宋体"/>
                <w:kern w:val="0"/>
                <w:sz w:val="21"/>
                <w:szCs w:val="21"/>
              </w:rPr>
            </w:pPr>
            <w:r>
              <w:rPr>
                <w:rFonts w:hint="eastAsia" w:ascii="宋体" w:hAnsi="宋体" w:eastAsia="宋体" w:cs="宋体"/>
                <w:kern w:val="0"/>
                <w:sz w:val="21"/>
                <w:szCs w:val="21"/>
              </w:rPr>
              <w:t>2.指定软件技术工程师对接项目服务且技术服务经验不低于3年 3.项目加工人员不低于20人，要求人员应长期稳定。</w:t>
            </w:r>
          </w:p>
        </w:tc>
      </w:tr>
      <w:tr>
        <w:tblPrEx>
          <w:tblCellMar>
            <w:top w:w="0" w:type="dxa"/>
            <w:left w:w="108" w:type="dxa"/>
            <w:bottom w:w="0" w:type="dxa"/>
            <w:right w:w="108" w:type="dxa"/>
          </w:tblCellMar>
        </w:tblPrEx>
        <w:trPr>
          <w:trHeight w:val="813"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3</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企业资格</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具有从业工商经营许可、非外资独资或非外资控股的企业、境内注册并具有独立法人资格、符合政府采购法第22条</w:t>
            </w:r>
          </w:p>
        </w:tc>
      </w:tr>
      <w:tr>
        <w:tblPrEx>
          <w:tblCellMar>
            <w:top w:w="0" w:type="dxa"/>
            <w:left w:w="108" w:type="dxa"/>
            <w:bottom w:w="0" w:type="dxa"/>
            <w:right w:w="108" w:type="dxa"/>
          </w:tblCellMar>
        </w:tblPrEx>
        <w:trPr>
          <w:trHeight w:val="820"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4</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项目经理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具备资质</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b/>
                <w:bCs/>
                <w:i w:val="0"/>
                <w:color w:val="000000"/>
                <w:kern w:val="0"/>
                <w:sz w:val="24"/>
                <w:szCs w:val="24"/>
                <w:highlight w:val="none"/>
                <w:u w:val="none"/>
                <w:lang w:val="en-US" w:eastAsia="zh-CN" w:bidi="ar"/>
              </w:rPr>
            </w:pPr>
            <w:r>
              <w:rPr>
                <w:rFonts w:hint="eastAsia" w:ascii="宋体" w:hAnsi="宋体" w:cs="宋体"/>
                <w:b/>
                <w:bCs/>
                <w:i w:val="0"/>
                <w:color w:val="000000"/>
                <w:kern w:val="0"/>
                <w:sz w:val="24"/>
                <w:szCs w:val="24"/>
                <w:highlight w:val="none"/>
                <w:u w:val="none"/>
                <w:lang w:val="en-US" w:eastAsia="zh-CN" w:bidi="ar"/>
              </w:rPr>
              <w:t>项目经理具备人社局颁发的《项目管理资格认证证书》</w:t>
            </w:r>
          </w:p>
          <w:p>
            <w:pPr>
              <w:widowControl/>
              <w:jc w:val="left"/>
              <w:rPr>
                <w:rFonts w:hint="eastAsia" w:ascii="宋体" w:hAnsi="宋体" w:eastAsia="宋体" w:cs="宋体"/>
                <w:kern w:val="0"/>
                <w:sz w:val="21"/>
                <w:szCs w:val="21"/>
              </w:rPr>
            </w:pPr>
            <w:r>
              <w:rPr>
                <w:rFonts w:hint="eastAsia" w:ascii="宋体" w:hAnsi="宋体" w:cs="宋体"/>
                <w:b/>
                <w:bCs/>
                <w:i w:val="0"/>
                <w:color w:val="000000"/>
                <w:kern w:val="0"/>
                <w:sz w:val="24"/>
                <w:szCs w:val="24"/>
                <w:highlight w:val="none"/>
                <w:u w:val="none"/>
                <w:lang w:val="en-US" w:eastAsia="zh-CN" w:bidi="ar"/>
              </w:rPr>
              <w:t>（投标时提供）</w:t>
            </w:r>
          </w:p>
        </w:tc>
      </w:tr>
      <w:tr>
        <w:tblPrEx>
          <w:tblCellMar>
            <w:top w:w="0" w:type="dxa"/>
            <w:left w:w="108" w:type="dxa"/>
            <w:bottom w:w="0" w:type="dxa"/>
            <w:right w:w="108" w:type="dxa"/>
          </w:tblCellMar>
        </w:tblPrEx>
        <w:trPr>
          <w:trHeight w:val="808" w:hRule="atLeast"/>
        </w:trPr>
        <w:tc>
          <w:tcPr>
            <w:tcW w:w="1024"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5</w:t>
            </w:r>
          </w:p>
        </w:tc>
        <w:tc>
          <w:tcPr>
            <w:tcW w:w="1767"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团队其他人员</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具备资质</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cs="宋体"/>
                <w:b/>
                <w:bCs/>
                <w:i w:val="0"/>
                <w:color w:val="000000"/>
                <w:kern w:val="0"/>
                <w:sz w:val="24"/>
                <w:szCs w:val="24"/>
                <w:highlight w:val="none"/>
                <w:u w:val="none"/>
                <w:lang w:val="en-US" w:eastAsia="zh-CN" w:bidi="ar"/>
              </w:rPr>
              <w:t>技术工程师具备人社局颁发的《信息系统项目管理师证书》（投标时提供）</w:t>
            </w:r>
          </w:p>
        </w:tc>
      </w:tr>
      <w:tr>
        <w:tblPrEx>
          <w:tblCellMar>
            <w:top w:w="0" w:type="dxa"/>
            <w:left w:w="108" w:type="dxa"/>
            <w:bottom w:w="0" w:type="dxa"/>
            <w:right w:w="108" w:type="dxa"/>
          </w:tblCellMar>
        </w:tblPrEx>
        <w:trPr>
          <w:trHeight w:val="981" w:hRule="atLeast"/>
        </w:trPr>
        <w:tc>
          <w:tcPr>
            <w:tcW w:w="102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kern w:val="0"/>
                <w:sz w:val="24"/>
              </w:rPr>
            </w:pPr>
          </w:p>
        </w:tc>
        <w:tc>
          <w:tcPr>
            <w:tcW w:w="1767"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b/>
                <w:bCs/>
                <w:sz w:val="24"/>
                <w:szCs w:val="28"/>
                <w:highlight w:val="none"/>
                <w:lang w:val="en-US" w:eastAsia="zh-CN"/>
              </w:rPr>
            </w:pPr>
            <w:r>
              <w:rPr>
                <w:rFonts w:hint="eastAsia" w:ascii="宋体" w:hAnsi="宋体" w:cs="宋体"/>
                <w:b/>
                <w:bCs/>
                <w:i w:val="0"/>
                <w:color w:val="000000"/>
                <w:kern w:val="0"/>
                <w:sz w:val="24"/>
                <w:szCs w:val="24"/>
                <w:highlight w:val="none"/>
                <w:u w:val="none"/>
                <w:lang w:val="en-US" w:eastAsia="zh-CN" w:bidi="ar"/>
              </w:rPr>
              <w:t>项目加工人员不少于6人具备档案专业人员岗位资格认证书</w:t>
            </w:r>
            <w:r>
              <w:rPr>
                <w:rFonts w:hint="eastAsia"/>
                <w:b/>
                <w:bCs/>
                <w:sz w:val="24"/>
                <w:szCs w:val="28"/>
                <w:highlight w:val="none"/>
                <w:lang w:val="en-US" w:eastAsia="zh-CN"/>
              </w:rPr>
              <w:t>（各省或区档案局、或各行业档案培训机构颁发）</w:t>
            </w:r>
          </w:p>
          <w:p>
            <w:pPr>
              <w:widowControl/>
              <w:jc w:val="left"/>
              <w:rPr>
                <w:rFonts w:hint="eastAsia" w:ascii="宋体" w:hAnsi="宋体" w:eastAsia="宋体" w:cs="宋体"/>
                <w:kern w:val="0"/>
                <w:sz w:val="21"/>
                <w:szCs w:val="21"/>
              </w:rPr>
            </w:pPr>
            <w:r>
              <w:rPr>
                <w:rFonts w:hint="eastAsia" w:ascii="宋体" w:hAnsi="宋体" w:cs="宋体"/>
                <w:b/>
                <w:bCs/>
                <w:i w:val="0"/>
                <w:color w:val="000000"/>
                <w:kern w:val="0"/>
                <w:sz w:val="24"/>
                <w:szCs w:val="24"/>
                <w:highlight w:val="none"/>
                <w:u w:val="none"/>
                <w:lang w:val="en-US" w:eastAsia="zh-CN" w:bidi="ar"/>
              </w:rPr>
              <w:t>（中标供应商在进场后提供）</w:t>
            </w:r>
          </w:p>
        </w:tc>
      </w:tr>
      <w:tr>
        <w:tblPrEx>
          <w:tblCellMar>
            <w:top w:w="0" w:type="dxa"/>
            <w:left w:w="108" w:type="dxa"/>
            <w:bottom w:w="0" w:type="dxa"/>
            <w:right w:w="108" w:type="dxa"/>
          </w:tblCellMar>
        </w:tblPrEx>
        <w:trPr>
          <w:trHeight w:val="6317" w:hRule="atLeast"/>
        </w:trPr>
        <w:tc>
          <w:tcPr>
            <w:tcW w:w="1024"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6</w:t>
            </w:r>
          </w:p>
        </w:tc>
        <w:tc>
          <w:tcPr>
            <w:tcW w:w="1767"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服务方案</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一、内容：病案数字化扫描及病案信息管理系统建设服务</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1.按照甲方的工期要求按时对库存历史病案进行数字化加工服务，要求数字化病案合格率达到100%,纸质病案数字化后，能实现病历全文识别，并将病历文本构建为索引数据，最终实现病历内容的全文检索功能，可通过关键词、关键字和关键术语，查找相关病例；所有数字化病案可通过计算机（系统）检索，用于医疗、教学、科研、管理等方面。</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2.已数字化的病案所有权归甲方所有，服务期内需提供无偿的数据迁移服务至甲方指定的服务器，保证数据的有效性及准确性；</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3.最终成品图像及数据库相关信息，无缝对接至南院区已建设完成的病案管理平台内，保证数据信息的完整和正常查询检索。</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4.服务公司自行携带所有办公设备进驻到符合病案管理业务及保密条件的工作场所，工作场所要求具备展开该服务工作的基本条件并配备安保系统和人员。办公设备包括但不限于电脑、打印机、扫描仪、高拍仪、扫码枪等；</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5.要求投入人员不少于22人（其中项目经理1人，软件技术工程师1人，加工人员不少于20人)；</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6.每批次病案移交10个工作日内完成数字化加工；</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7.服务期间，病历的转运、交接应符合各项保密制度，具备相应保密措施，过程可追溯；</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8.交付验收通过后，免费售后运维服务期限为3年,服务内容包括交付的扫描工作缺陷问题、数字化病案数据库的维护和系统之间数据接口维护等。</w:t>
            </w:r>
          </w:p>
        </w:tc>
      </w:tr>
      <w:tr>
        <w:tblPrEx>
          <w:tblCellMar>
            <w:top w:w="0" w:type="dxa"/>
            <w:left w:w="108" w:type="dxa"/>
            <w:bottom w:w="0" w:type="dxa"/>
            <w:right w:w="108" w:type="dxa"/>
          </w:tblCellMar>
        </w:tblPrEx>
        <w:trPr>
          <w:trHeight w:val="2765" w:hRule="atLeast"/>
        </w:trPr>
        <w:tc>
          <w:tcPr>
            <w:tcW w:w="102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kern w:val="0"/>
                <w:sz w:val="24"/>
              </w:rPr>
            </w:pPr>
          </w:p>
        </w:tc>
        <w:tc>
          <w:tcPr>
            <w:tcW w:w="1767"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二、涉密及保密相关要求：项目涉及到患者医疗资料、个人隐私，乙方应严格遵守涉及个人隐私及保密相关的法律、法规和工规定，严格禁止私自泄露患者信息，符合中华人民共和国行业标准DA/T68.2-2020档案服务外包工作规范的要求，相关人员签订保密协议，系统配置相关保密措施。加工所用设备及工具带入加工场地前均应交由甲方检查，加工结束之前任何工具及设备不得带出工作现场，如有需更换的报废工具，需交由甲方处理；所有带入现场的计算机设备均应进行硬盘格式化，在甲方技术人员监督下进行系统安装；所有安装的软件系统光盘均应事先申报，并交甲方技术人员审核并保管，用需事先申请。</w:t>
            </w:r>
          </w:p>
        </w:tc>
      </w:tr>
      <w:tr>
        <w:tblPrEx>
          <w:tblCellMar>
            <w:top w:w="0" w:type="dxa"/>
            <w:left w:w="108" w:type="dxa"/>
            <w:bottom w:w="0" w:type="dxa"/>
            <w:right w:w="108" w:type="dxa"/>
          </w:tblCellMar>
        </w:tblPrEx>
        <w:trPr>
          <w:trHeight w:val="2776"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7</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质量控制</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1.病案扫描服务，保证病案扫描图像与原件一致、整洁、清晰，扫描分辨率不低于300dpi,支持图片转化pdf文件格式。</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2.软件优化，包括软件补丁更新，软件标准版本的系统升级及甲方提出的个性化修改，要求在不影响用户正常工作的前提下，完成系统调试、数据平滑过渡；</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3.接口服务，符合数据接口标准性和通用性要求，避免形成数据孤岛；当甲方有系统接口服务需求时，服务商应积极配合，不得拒绝。</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4.版本管理，留存甲方信息系统的各个版本，并建立版本档案记录，包括修改目的、涉及代码、数据结构变化情况等。</w:t>
            </w:r>
          </w:p>
        </w:tc>
      </w:tr>
      <w:tr>
        <w:tblPrEx>
          <w:tblCellMar>
            <w:top w:w="0" w:type="dxa"/>
            <w:left w:w="108" w:type="dxa"/>
            <w:bottom w:w="0" w:type="dxa"/>
            <w:right w:w="108" w:type="dxa"/>
          </w:tblCellMar>
        </w:tblPrEx>
        <w:trPr>
          <w:trHeight w:val="7961"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8</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验收考核办法</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一、病案数字化验收及考核</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1.数据抽检</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按月度以抽检的方式检查已完成数字化转换的所有数据，随意选择抽样10%到100%的抽样比例，根据自身验收人员情况决定抽检比例，对不合格数据进行返工处理，要求合格率达到100%。</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2.原件的验收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资料原件交付后，可依据提供的数据库和原来的资料管理数据库进行核查，核查的项目包括：原件的盒数、件数、页数是否与原来一致、资料所贴条码是否与原件病案号一致、资料有无污损等。资料整理按照要求进行资料的严格分类排列，按资料管理还原要求进行资料的整理还原；病案使用完毕后，必须按原顺序放回，不可改变病案顺序，不得出现错页、倒页、漏页，更不能遗留病案材料，必须保证还原后病案的正确性，完整性；原装订整齐的病案，重新装订后必须装订整齐。病案归还时也必须保证搬运过程中病案的安全。</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3.数字化进度，根据甲方要求的全年数字化工作总量，考核按季度完成工作进度</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二、病案信息系统验收及考核</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功能项验收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系统搭建完成后，进行功能性逐项进行现场测试验收，要求技术参数实现率100%；</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业务流程验收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对病案数字化项目的典型业务流程进行验收：归档、转存、查询的操作流程及操作结果进行验收；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容错验收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系统对数据的导出、删除是否有准确、清晰的提示；</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安全性验收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系统是否有留痕功能、是否保留用户的操作日志；</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各种用户的权限分配是否合理。</w:t>
            </w:r>
          </w:p>
        </w:tc>
      </w:tr>
      <w:tr>
        <w:tblPrEx>
          <w:tblCellMar>
            <w:top w:w="0" w:type="dxa"/>
            <w:left w:w="108" w:type="dxa"/>
            <w:bottom w:w="0" w:type="dxa"/>
            <w:right w:w="108" w:type="dxa"/>
          </w:tblCellMar>
        </w:tblPrEx>
        <w:trPr>
          <w:trHeight w:val="882"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9</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服务期限</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2年</w:t>
            </w:r>
          </w:p>
        </w:tc>
      </w:tr>
      <w:tr>
        <w:tblPrEx>
          <w:tblCellMar>
            <w:top w:w="0" w:type="dxa"/>
            <w:left w:w="108" w:type="dxa"/>
            <w:bottom w:w="0" w:type="dxa"/>
            <w:right w:w="108" w:type="dxa"/>
          </w:tblCellMar>
        </w:tblPrEx>
        <w:trPr>
          <w:trHeight w:val="1766"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10</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rPr>
              <w:t>售后要求</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交付验收通过后，免费售后运维服务期限为3年；服务内容包括后续使用中发现的已交付扫描工作的缺陷问题、数字化病案数据库的维护和系统之间数据接口维护；数据接口应符合数据接口标准性和通用性要求，避免形成数据孤岛；当甲方有系统接口服务需求时，服务商应积极配合，不得拒绝。服务响应时间应在24小时内。</w:t>
            </w:r>
          </w:p>
        </w:tc>
      </w:tr>
      <w:tr>
        <w:tblPrEx>
          <w:tblCellMar>
            <w:top w:w="0" w:type="dxa"/>
            <w:left w:w="108" w:type="dxa"/>
            <w:bottom w:w="0" w:type="dxa"/>
            <w:right w:w="108" w:type="dxa"/>
          </w:tblCellMar>
        </w:tblPrEx>
        <w:trPr>
          <w:trHeight w:val="898" w:hRule="atLeast"/>
        </w:trPr>
        <w:tc>
          <w:tcPr>
            <w:tcW w:w="102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default" w:ascii="宋体" w:hAnsi="宋体" w:cs="宋体"/>
                <w:kern w:val="0"/>
                <w:sz w:val="24"/>
                <w:lang w:val="en-US" w:eastAsia="zh-CN"/>
              </w:rPr>
            </w:pPr>
            <w:r>
              <w:rPr>
                <w:rFonts w:hint="eastAsia" w:ascii="宋体" w:hAnsi="宋体" w:cs="宋体"/>
                <w:kern w:val="0"/>
                <w:sz w:val="24"/>
                <w:lang w:val="en-US" w:eastAsia="zh-CN"/>
              </w:rPr>
              <w:t>11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付款方式</w:t>
            </w:r>
          </w:p>
        </w:tc>
        <w:tc>
          <w:tcPr>
            <w:tcW w:w="69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按季度交付验收工作量，逐次开票结款。</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37E0A"/>
    <w:rsid w:val="0ED37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Cs/>
      <w:sz w:val="44"/>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2023-08-15T09:16:00Z</dcterms:created>
  <dc:creator>zc</dc:creator>
  <cp:lastModifiedBy>zc</cp:lastModifiedBy>
  <dcterms:modified xsi:type="dcterms:W3CDTF">2023-08-15T09:17:15Z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