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154366"/>
      <w:bookmarkStart w:id="1" w:name="_Toc21632"/>
      <w:bookmarkStart w:id="2" w:name="_Toc132186973"/>
      <w:bookmarkStart w:id="3" w:name="_Toc130888005"/>
      <w:bookmarkStart w:id="4" w:name="_Toc112768491"/>
      <w:bookmarkStart w:id="5" w:name="_Toc132191257"/>
      <w:bookmarkStart w:id="6" w:name="_Toc9692"/>
      <w:bookmarkStart w:id="7" w:name="_Toc32050"/>
      <w:bookmarkStart w:id="8" w:name="_Toc130661176"/>
      <w:bookmarkStart w:id="9" w:name="_Toc128470293"/>
      <w:bookmarkStart w:id="10" w:name="_Toc112317781"/>
      <w:bookmarkStart w:id="11" w:name="_Toc30564"/>
      <w:bookmarkStart w:id="12" w:name="_Toc28545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5"/>
        <w:tblW w:w="97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988"/>
        <w:gridCol w:w="1297"/>
        <w:gridCol w:w="5897"/>
        <w:gridCol w:w="8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4" w:hRule="atLeast"/>
          <w:jc w:val="center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本项为实质性响应条款，不接受负偏离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1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*1、高原部署和加改装对象：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1）对东软医疗系统股份有限公司生产的NeuVision 470 DR进行高原部署展开和加改装，该DR主要性能指标：平板探测器像素矩阵3072*3072；球管焦点0.6/1.2mm，阳极热容量不小于150kHU;高压发生器输出功率50kW；电压：3N～380/400V AC±10%；额定功率：85kVA；频率 50Hz/60Hz。完成方舱DR展开部署，对DR进行系统维护、调优和软件升级，以确保各项性能指标满足高原环境正常使用需求。</w:t>
            </w:r>
            <w:bookmarkStart w:id="13" w:name="_GoBack"/>
            <w:bookmarkEnd w:id="13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2）对东软医疗系统股份有限公司生产的车载NeuViz 64In CT进行加改装和大修维护，该CT主要性能指标：机架孔径72cm，球管热容量5.0MHU,高压发生器功率50kW，32排固体稀土陶瓷探测器，轴位扫描成像64层；现有发电系统功率为70kW，更新为满足高原CT运行功率需求的新发电机组和控制系统，对CT进行大修和参数调优和软件升级，以确保该车载CT各项性能指标满足高原环境正常使用需求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2、部署地点及环境条件：部署地点位于西藏某地，海拔高度4300m左右，最低气温-35℃，大气压力约60kPa，氧浓度约13%，高原高寒强紫外线环境。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  <w:jc w:val="center"/>
        </w:trPr>
        <w:tc>
          <w:tcPr>
            <w:tcW w:w="6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19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（车载CT）：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1、发电机组1套；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2、排气系统1套；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3、静音罩1套；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4、远程控制面板1套；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5、加热系统（空气预热塞、驻车加热器)共2套；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（方舱DR）：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6、DR部署方舱1套；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7、加热系统2套；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8、温度检测仪2台。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6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其他符合性条款</w:t>
            </w:r>
          </w:p>
        </w:tc>
        <w:tc>
          <w:tcPr>
            <w:tcW w:w="71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1、投标时提供车载CT和方舱DR加改装和部署技术方案，包括技术原理图、安装部署图、维护维修程序、施工流程、现场安装调试要求、施工计划与进度安排和验收测试方法等。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2、投标供应商为生产企业的，应具有三类医疗器械生产资质；投标供应商为维修企业的，应承诺中标后可取得东软医疗系统股份有限公司的升级、改造、测试服务。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•1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71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供应商技术能力：须具备CT、DR维修和技术改进能力，有高原方舱DR或车载CT设备部署或维修经验以及相应的保障能力，提供高原客户签署的相关合同、维修工单等证明材料。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（须体现项目实施地点为4000米以上）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71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2.1车载CT改造升级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2.1.1CT大修保养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按照厂家维护保养标准要求，对CT球管、探测器、高压系统和扫描床进行大修、保养和系统维护与测试，更换必要的损坏配件，确保性能指标满足高原环境使用要求。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2.1.2减震与平衡系统维护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对CT主机减震系统、车载平衡系统进行维护和测试，满足车载CT野外安全运输需求。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2.1.3发电机组更换升级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对现有车载CT发电机组和自供电系统进行适配试验、更换、调试和检测，满足高原条件下车载CT野外自供电运行需求。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*2.1.3.1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发电机组功率升级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1、更换升级发电机组以满足在高原低温、低氧、低气压条件下启动和功率使用需求。将最大发电功率由88kVA/70kW提升为150kVA/120kW，将额定功率由80kVA/64kW提升为135kVA/108kW。最大电流由127A提升为217A；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2、CT启动输入有效功率不低于55kW。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*2.1.3.2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发电机组规格尺寸和重量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1、尺寸： 长宽高不大于2245mm×1106mm×1650mm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2、重量：≤ 1780 kg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2.1.3.3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发电机组联控装置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需具备控制屏系统：具有远程启动/停机功能，能显示发电机运行数据，电压，电流，功率，频率，电池，容量和工作时间，加热控制面板能显示缸套水温度。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•2.1.3.4发电机组主要参数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1、转速/频率：1500转/50Hz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2、电压等级：400/230V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3、功率因数：0.8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4、启动方式：12V/DC 电启动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5、稳态电压调整率：±0.5%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6、电压调整范围：±5%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7、电压波动率：±0.5%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8、电压恢复时间：≤1s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9、稳态频率调整率：≤1%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10、瞬态频率调整率：±5%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11、频率波动率：±0.5%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12、频率稳定时间：≤3s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2.1.3.5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发动机主要技术参数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1、进气方式：涡轮增压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2、冷却方式：闭式冷却循环，空水冷却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3、缸数/排列：6/L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4、排量：7L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5、缸径：105mm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6、冲程：135mm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7、压缩比：18.2：1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8、转速@50Hz：1500rpm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9、调速方式：机械调速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2.1.3.6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发动机润滑系统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1、润滑油容量：18L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2、最小油压：340kPa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2.1.3.7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发动机燃油系统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1、油耗@100%负载：30.3L/h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2、座底邮箱容量：130L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2.1.3.8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发动机冷却系统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1、冷却液总容量：21L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2、自动恒温器：（82-93）℃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3、最高温度：110℃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2.1.3.9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发电机主要技术参数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1、绝缘等级：H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2、温升等级：H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3、防护等级：IP23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2.1.3.10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发电机组加热系统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1、空气预热塞：12VDC，6个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2、驻车加热器：12VDC/5kW，1个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2.1.3.11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发电机组远程控制面板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1、低温控制屏：规格，-40℃至70℃,1块；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2、电缆：含通信电缆，电源电缆，急停开关电缆10米，电缆一端配置插头。YG/GZ系类防水防误插插头。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2.1.3.12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排气系统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排气波纹管，外包隔热层，安装在静音罩顶部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2.1.3.13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发电机组静音罩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(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长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*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宽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*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高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)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  2250mm×1110mm×1650mm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方舱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DR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部署及改造升级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2.2.1DR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方舱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1、方舱结构 整体设计制造，符合双立柱DR空间摆位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2、方舱尺寸 外廓尺寸6000mm×2438mm×2890mm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操作室净尺寸1650mm×2200mm×2570mm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操作台尺寸1600mm×700mm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扫描室净尺寸4000mm×2200mm×2570mm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铅玻璃观察窗尺寸900mm×700mm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医生防护门尺寸700mm×2030mm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患者防护门尺寸1500mm×2100mm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操作室防盗门875mm×1940mm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3、方舱防护 检查室六面防辐射 4mmpb铅板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铅玻璃观察窗防护 4mmpb铅板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患者防护电动门及医生防护手动铅门有连锁装置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4、方舱供电 外接电源（实现全系统供电）AC380V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5、方舱附件 空调变频节能 扫描室1台1.5匹，操作室1台1匹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操作室紫外线灯1台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扫描室紫外线等1台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排风扇2套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室外曝光警示灯1套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操作室监控显示器1台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扫描间监控摄像头1套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2.2.2DR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安装调试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DR安装、调试和系统性能测试，满足高原环境运行需求。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2.2.3DR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温控系统维护升级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2.2.3.1方舱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DR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检查室温度控制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加装1台加热装置，额定功率9000W，额定电压380V，产品尺寸不大于365mm×240mm×670mm。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*2.2.3.2方舱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DR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操作室温度控制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加装1台加热装置，额定功率3000W，额定电压220V，产品尺寸不大于235mm×200mm×610mm。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2.2.3.3低温提醒及报警功能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1、加装2台温度检测仪器；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2、低温≤-20℃或者高温≥55℃，超出高低温报警线，自动提醒报警。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9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商务要求(均为实质性响应条款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，不接受负偏离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1" w:hRule="atLeast"/>
          <w:jc w:val="center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•3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3.1售后条款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1、保修期内免费升级和软件维护；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2、保修期外原软件维护仅收工时费，系统建设、使用、运维等过程中遇到问题时，供应商必须提供相应的技术支持与帮助；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3、供应商应具有方舱DR、车载CT升级与改造的技术人员，具备一年以上维修经验；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4、保养服务：一年一次影像设备质量检查、安全检查、运行状态检查、除尘、保养、更换易损耗件和校准等，向院方提供书面保养报告及质量评估报告。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*3.1.1原厂保修年限</w:t>
            </w:r>
          </w:p>
        </w:tc>
        <w:tc>
          <w:tcPr>
            <w:tcW w:w="589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质保期：1年。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3.2零配件保证供应时长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供应商确保备件供应能力，对所需备件有全新、合法、合格来源证明，可通过正常物流条件按用户要求足量配送到高原部署场地。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3.3维修响应时间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常技术支持：可提供高原某地区全年365天7×24小时电话支持，电话报修响应时间：≤1小时，远程网络和必要的现场服务等技术支持服务，对于系统故障，要求提供快速响应机制，满足医院业务连续性要求。正常情况下：维修到达现场时间≤5个工作日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3.4保修期外维修费用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提供免费保修期外的年度整机保修费用价格，提供计算方法及价格。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3.5升级与软件维护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保修期内免费升级和软件维护，包括提供更换零配件和远程技术指导服务。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5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3.6专用工具、资料及其它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1、供应商提供专业工具、仪器；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2、各类文档必须符合国家相关标准规范；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3、供应商中标后，不得将项目进行分包；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4、DR、CT的保密范围要求：投标方保证未得到医院同意的情况下不得向第三方泄露展示图纸、技术文件、医院数据、信息等资料，乃至销售，否则供应商将承担由此产生的一切后果。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3.7培训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商必须承诺在项目运行前，向医院相关业务科室提供培训：每人的培训时长不低于2日；供应商必须对所有产品的全部免费培训，培训包括技术人员培训、业务系统培训。培训并保留过程文档记录，以便系统使用者学习查看(不含发电机组)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3.8交货期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现场改造工期：签订合同后2月内完成项目改造及系统优化升级（特殊情况下：双方协商工期）。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3.9验收与考核办法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1、服务供应商按进度向甲方提报服务情况，邀请甲方参加阶段例会，并根据项目验收需要组织第三方测评，解决改造工作范围内各项问题，确保整改、升级、优化安全按方案要求顺利完成；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2、具备验收条件后，甲方组织专家进行现场测试、评审与功能验收；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3.10付款方式</w:t>
            </w:r>
          </w:p>
        </w:tc>
        <w:tc>
          <w:tcPr>
            <w:tcW w:w="58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首付款10%，验收通过后15个工作日内付款85%，验收合格满1年后，支付尾款（尾款不得超过合同金额的5%）。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9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备注：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加注“*”号的技术指标为关键指标，≥1项未达到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文件要求，即做废标处理。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center"/>
              <w:rPr>
                <w:rStyle w:val="11"/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Style w:val="11"/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"/>
              </w:rPr>
              <w:t>加注“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Style w:val="11"/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"/>
              </w:rPr>
              <w:t>”号的技术指标为重要指标。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"/>
              </w:rPr>
              <w:t>所有商务要求均为实质性响应条款，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≥1</w:t>
            </w:r>
            <w:r>
              <w:rPr>
                <w:rStyle w:val="11"/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"/>
              </w:rPr>
              <w:t>项未达到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谈判</w:t>
            </w:r>
            <w:r>
              <w:rPr>
                <w:rStyle w:val="11"/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"/>
              </w:rPr>
              <w:t>文件要求，即做废标处理。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.加注“*”、“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”号的技术指标均需投标企业提供证明材料。</w:t>
            </w:r>
          </w:p>
          <w:p>
            <w:pPr>
              <w:ind w:firstLine="422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供应商须提供相关技术指标证明材料予以佐证（证明材料不限于资质证书、</w:t>
            </w: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业绩案例、响应承诺，以及产品规格表、制造商官方网站发布的产品信息、说明书等或检测机构出具的检测报告等技术资料支持的产品彩页、技术白皮书、厂家出具的技术证明文件、实物照片、软件功能截图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等）。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AA383"/>
    <w:multiLevelType w:val="singleLevel"/>
    <w:tmpl w:val="395AA3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F34D2"/>
    <w:rsid w:val="2B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3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7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9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01"/>
    <w:basedOn w:val="6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2023-08-31T10:08:00Z</dcterms:created>
  <dc:creator>why</dc:creator>
  <cp:lastModifiedBy>why</cp:lastModifiedBy>
  <dcterms:modified xsi:type="dcterms:W3CDTF">2023-08-31T10:08:53Z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