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bookmarkStart w:id="0" w:name="_Toc128397968"/>
      <w:bookmarkStart w:id="1" w:name="_Toc130657990"/>
      <w:bookmarkStart w:id="2" w:name="_Toc12397"/>
      <w:bookmarkStart w:id="3" w:name="_Toc128150776"/>
      <w:bookmarkStart w:id="4" w:name="_Toc112317781"/>
      <w:bookmarkStart w:id="5" w:name="_Toc132190632"/>
      <w:bookmarkStart w:id="6" w:name="_Toc128150132"/>
      <w:bookmarkStart w:id="7" w:name="_Toc130886997"/>
      <w:bookmarkStart w:id="8" w:name="_Toc29228"/>
      <w:bookmarkStart w:id="9" w:name="_Toc130657536"/>
      <w:bookmarkStart w:id="10" w:name="_Toc5855"/>
      <w:bookmarkStart w:id="11" w:name="_Toc128151025"/>
      <w:bookmarkStart w:id="12" w:name="_Toc127820562"/>
      <w:bookmarkStart w:id="13" w:name="_Toc130887498"/>
      <w:bookmarkStart w:id="14" w:name="_Toc8647"/>
      <w:r>
        <w:rPr>
          <w:rFonts w:hint="eastAsia"/>
          <w:b w:val="0"/>
          <w:color w:val="auto"/>
          <w:szCs w:val="44"/>
          <w:highlight w:val="none"/>
          <w:lang w:val="zh-CN"/>
        </w:rPr>
        <w:t>第六</w:t>
      </w:r>
      <w:bookmarkStart w:id="15" w:name="_GoBack"/>
      <w:bookmarkEnd w:id="15"/>
      <w:r>
        <w:rPr>
          <w:rFonts w:hint="eastAsia"/>
          <w:b w:val="0"/>
          <w:color w:val="auto"/>
          <w:szCs w:val="44"/>
          <w:highlight w:val="none"/>
          <w:lang w:val="zh-CN"/>
        </w:rPr>
        <w:t>章</w:t>
      </w:r>
      <w:r>
        <w:rPr>
          <w:b w:val="0"/>
          <w:color w:val="auto"/>
          <w:szCs w:val="44"/>
          <w:highlight w:val="none"/>
          <w:lang w:val="zh-CN"/>
        </w:rPr>
        <w:t xml:space="preserve"> </w:t>
      </w:r>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5"/>
        <w:tblW w:w="98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87"/>
        <w:gridCol w:w="1150"/>
        <w:gridCol w:w="7288"/>
        <w:gridCol w:w="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序号</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需求名称</w:t>
            </w:r>
          </w:p>
        </w:tc>
        <w:tc>
          <w:tcPr>
            <w:tcW w:w="728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技术参数和需求内容</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13"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基本要求</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次项目旨在建设覆盖全院（住院一部，住院二部，飞机楼、干保楼、结核楼、整形楼）的内网无线WiFi网络。随着行业的发展，越来越多的医疗解决方案依托WiFi，物联网等技术提供服务，如医护查房，输液监测，资产管理等，这些方案可以极大的提供业务科室的工作效率，为医护人员减负，把更多的精力用于服务病患，提升医院整体的运营效率和病患满意度。本次项目中，无线WiFi网络不仅能提供高速的无线带宽接入和漫游服务，同时WiFi设备需要支持物联网技术的灵活扩展，未来可以按需部署，支撑医院未来5-10年的业务发展需求。</w:t>
            </w:r>
          </w:p>
        </w:tc>
        <w:tc>
          <w:tcPr>
            <w:tcW w:w="73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1"/>
                <w:szCs w:val="21"/>
                <w:u w:val="none"/>
                <w:lang w:eastAsia="zh-CN"/>
              </w:rPr>
            </w:pPr>
            <w:r>
              <w:rPr>
                <w:rFonts w:hint="eastAsia" w:ascii="宋体" w:hAnsi="宋体" w:eastAsia="宋体" w:cs="宋体"/>
                <w:i w:val="0"/>
                <w:color w:val="000000"/>
                <w:kern w:val="0"/>
                <w:sz w:val="21"/>
                <w:szCs w:val="21"/>
                <w:u w:val="none"/>
                <w:lang w:val="en-US" w:eastAsia="zh-CN" w:bidi="ar"/>
              </w:rPr>
              <w:t>本项为实质性响应条款，不接受负偏离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77"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配置要求</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1.网管准入平台 1套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2.无线核心交换机 2台（包含光模块及线缆）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3.汇聚交换机 6台（包含模块及线缆）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4.面板AP 1165台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5.放装AP 351台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6.无线控制器 2台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7.POE交换机 43台（包含模块及线缆）</w:t>
            </w:r>
          </w:p>
        </w:tc>
        <w:tc>
          <w:tcPr>
            <w:tcW w:w="73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1" w:hRule="atLeast"/>
          <w:tblHeader/>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产品资格</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1.所投产品可以统一管理。</w:t>
            </w:r>
          </w:p>
        </w:tc>
        <w:tc>
          <w:tcPr>
            <w:tcW w:w="73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15" w:hRule="atLeast"/>
          <w:tblHeader/>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2.国产品牌</w:t>
            </w:r>
          </w:p>
        </w:tc>
        <w:tc>
          <w:tcPr>
            <w:tcW w:w="73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87"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技术力量</w:t>
            </w:r>
          </w:p>
        </w:tc>
        <w:tc>
          <w:tcPr>
            <w:tcW w:w="728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项目实施团队至少2人具有网络相关的高级工程师证书或网络工程师证书。</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0"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性能指标</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Times New Roman" w:hAnsi="Times New Roman" w:eastAsia="宋体" w:cs="Times New Roman"/>
                <w:i w:val="0"/>
                <w:color w:val="000000"/>
                <w:sz w:val="21"/>
                <w:szCs w:val="21"/>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90" w:hRule="atLeast"/>
          <w:tblHeader/>
          <w:jc w:val="center"/>
        </w:trPr>
        <w:tc>
          <w:tcPr>
            <w:tcW w:w="687"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网管准入平台</w:t>
            </w:r>
          </w:p>
        </w:tc>
        <w:tc>
          <w:tcPr>
            <w:tcW w:w="72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1.支持Telemetry采集设备性能/告警数据/用户数据，并基于大数据等合统计分析，基于AI预测网络故障和闭环网络问题，无线射频智能调优；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2.支持纳管园区网络设备，包含交换机.无线WAC和AP.防火墙和路由器等设备；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3.支持有线和无线网络的零配置开局，支持多种即插即用技术；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·4.支持内置CA服务器，满足CA运维管理，如个人证书颁布.挂失和过期处理，该个人证书可以作为网络准入认证身份源；</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·5.支持交换机和无线WIFI网络设备的批量自动化配置。提供功能截图证明；</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6.支持多种认证技术，如802.1x.MAC.和Portal 2.0的Portal认证等多种认证方式；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7.支持基于用户/用户组/角色.位置接入.设备组.接入时间.接入方式等网络属性进行网络访问策略授权管理；支持标准的自定义RADIUS属性作为授权参数；支持多条授权策略的优先级管理；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8.支持多种识别技术：User-Agent.DHCP Option.MAC OUI.mDNS.LLDP.SNMP和NMAP对入网终端的操作系统.厂家.终端型号等信息进行精准识别；支持终端识别规则自定义；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9.支持对终端识别按照类型.操作系统等维度进行自动分组或者手动分组，该分组可作为网络接入授权条件。当终端接入网络后自动认证通过，并可以绑定设备类型；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·10.支持将用户和IP解耦，帐号即用户，根据用户登录条件授权安全组，基于策略矩阵，实现用户权限互访限制，满足随时随地接入网络业务权限一致。提供功能截图证明；</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·11.支持通过空口调度策略，保障VIP用户优先接入网络</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·12.提供终端识别的敏捷报表，并支持按照厂商.OS.设备类型进行图标呈现，支持多种报表（定时报表，周期报表，实时报表）通知管理员</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·13.支持基于用户+应用双重条件HQOS流量调度，满足VIP用户视频.语音等关键应用的体验保障</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*14.实配：CPU≥2*16双核心/2.3GHz ,内存≥4*32G, SAS HDD≥4*1200GB,Raid卡≥1，,GE≥2*4， 10GE光口≥4，交流电源≥2,</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授权：终端准入授权≥2500，网络设备纳管授权≥1569</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blHeader/>
          <w:jc w:val="center"/>
        </w:trPr>
        <w:tc>
          <w:tcPr>
            <w:tcW w:w="687"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pageBreakBefore w:val="0"/>
              <w:widowControl/>
              <w:kinsoku/>
              <w:wordWrap/>
              <w:overflowPunct/>
              <w:topLinePunct w:val="0"/>
              <w:autoSpaceDE/>
              <w:autoSpaceDN/>
              <w:bidi w:val="0"/>
              <w:adjustRightInd/>
              <w:snapToGrid/>
              <w:spacing w:line="280" w:lineRule="exact"/>
              <w:jc w:val="left"/>
              <w:rPr>
                <w:rFonts w:hint="eastAsia" w:ascii="宋体" w:hAnsi="宋体" w:eastAsia="宋体" w:cs="宋体"/>
                <w:i w:val="0"/>
                <w:color w:val="000000"/>
                <w:sz w:val="21"/>
                <w:szCs w:val="21"/>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88" w:hRule="atLeast"/>
          <w:tblHeader/>
          <w:jc w:val="center"/>
        </w:trPr>
        <w:tc>
          <w:tcPr>
            <w:tcW w:w="6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11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无线核心交换机</w:t>
            </w:r>
          </w:p>
        </w:tc>
        <w:tc>
          <w:tcPr>
            <w:tcW w:w="728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top"/>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*1.交换容量≥76Tbps，包转发率≥8600Mpps</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·2.设备支持模块化风扇框，可热插拔，独立风扇框数≥2，提供官网截图或产品样本或第三方测试报告等证明材料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·3整机电源槽位数≥4，支持电源功率3000W，提供官网截图或产品样本或第三方测试报告等证明材料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·4.支持独立的硬件监控板卡, 控制平面和监控平面物理槽位分离，能集中监控风扇.电源等模块，提供官网截图或产品样本或第三方测试报告等证明材料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·5.支持VxLAN功能，支持VxLAN二层网关.三层网关，支持BGP EVPN，提供官网截图或产品样本或第三方测试报告等证明材料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6.支持静态路由.RIP.RIPng.OSPF.OSPFv3.BGP.BGP4+.ISIS.ISISv6；支持路由协议多实例</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·7.支持真实业务流的实时检测技术，秒级快速故障定位。</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8.支持硬件BFD/OAM，3.3ms稳定均匀发包检测提供官网截图或产品样本或第三方测试报告等证明材料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·9.支持业务板集成AC功能，实现对AP的接入控制和管理，实现对有线无线用户的统一认证管理、用户数据报文的隧道集中转发.</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*10.主控引擎≥2;整机业务板槽位数≥6，万兆光口≥48，千兆/百兆电口≥48，万兆单模光模块≥4，3M长10G堆叠线缆≥1，电源≥2，电源功率≥800W</w:t>
            </w:r>
          </w:p>
        </w:tc>
        <w:tc>
          <w:tcPr>
            <w:tcW w:w="73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15"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汇聚交换机</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*1.交换容量≥2Tbps，包转发率≥1200Mpps，以官网最低值为准</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·2.支持可插拔的双电源，提供官网截图或产品样本或第三方测试报告等证明材料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·3.支持可插拔风扇框，风扇框个数≥4，提供官网截图或产品样本或第三方测试报告等证明材料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4.支持静态路由、RIP V1/2、URPF OSPF、IS-IS、BGP、RIPng、OSPFv3、BGP4+、ISISv6</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5.支持横向堆叠，主机堆叠数不小于9台</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6.支持 Telemetry 技术</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·7.支持DHCPv6 Snooping，IP Source Guard，SAVI等安全特性，提供官网截图或产品样本或第三方测试报告等证明材料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val="0"/>
                <w:bCs w:val="0"/>
                <w:i w:val="0"/>
                <w:color w:val="000000"/>
                <w:kern w:val="0"/>
                <w:sz w:val="21"/>
                <w:szCs w:val="21"/>
                <w:u w:val="none"/>
                <w:lang w:val="en-US" w:eastAsia="zh-CN" w:bidi="ar"/>
              </w:rPr>
              <w:t xml:space="preserve">8.支持G.8032（ERPS）标准环网协议，故障倒换收敛时间小于50毫秒 </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·9.提供工信部入网证</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*10.实配：万兆光口≥24，100G 光口≥6，电源功率≥600W，电源≥2，万兆单模光模块≥4</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60"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面板AP</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*1.支持802.11ax标准；支持2.4GHz/5GHz双频段，总空间流数4；整机速率≥1.7Gbps；</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highlight w:val="none"/>
                <w:u w:val="none"/>
                <w:lang w:val="en-US" w:eastAsia="zh-CN" w:bidi="ar"/>
              </w:rPr>
              <w:t>·2.支持USB接口一个</w:t>
            </w:r>
            <w:r>
              <w:rPr>
                <w:rFonts w:hint="eastAsia" w:ascii="宋体" w:hAnsi="宋体" w:cs="宋体"/>
                <w:b/>
                <w:bCs/>
                <w:i w:val="0"/>
                <w:color w:val="000000"/>
                <w:kern w:val="0"/>
                <w:sz w:val="21"/>
                <w:szCs w:val="21"/>
                <w:highlight w:val="none"/>
                <w:u w:val="none"/>
                <w:lang w:val="en-US" w:eastAsia="zh-CN" w:bidi="ar"/>
              </w:rPr>
              <w:t>，可扩展</w:t>
            </w:r>
            <w:r>
              <w:rPr>
                <w:rFonts w:hint="eastAsia" w:ascii="宋体" w:hAnsi="宋体" w:eastAsia="宋体" w:cs="宋体"/>
                <w:b/>
                <w:bCs/>
                <w:i w:val="0"/>
                <w:color w:val="000000"/>
                <w:kern w:val="0"/>
                <w:sz w:val="21"/>
                <w:szCs w:val="21"/>
                <w:u w:val="none"/>
                <w:lang w:val="en-US" w:eastAsia="zh-CN" w:bidi="ar"/>
              </w:rPr>
              <w:t>IoT</w:t>
            </w:r>
            <w:r>
              <w:rPr>
                <w:rFonts w:hint="eastAsia" w:ascii="宋体" w:hAnsi="宋体" w:cs="宋体"/>
                <w:b/>
                <w:bCs/>
                <w:i w:val="0"/>
                <w:color w:val="000000"/>
                <w:kern w:val="0"/>
                <w:sz w:val="21"/>
                <w:szCs w:val="21"/>
                <w:highlight w:val="none"/>
                <w:u w:val="none"/>
                <w:lang w:val="en-US" w:eastAsia="zh-CN" w:bidi="ar"/>
              </w:rPr>
              <w:t>模块；</w:t>
            </w:r>
            <w:r>
              <w:rPr>
                <w:rFonts w:hint="eastAsia" w:ascii="宋体" w:hAnsi="宋体" w:eastAsia="宋体" w:cs="宋体"/>
                <w:b/>
                <w:bCs/>
                <w:i w:val="0"/>
                <w:color w:val="000000"/>
                <w:kern w:val="0"/>
                <w:sz w:val="21"/>
                <w:szCs w:val="21"/>
                <w:highlight w:val="none"/>
                <w:u w:val="none"/>
                <w:lang w:val="en-US" w:eastAsia="zh-CN" w:bidi="ar"/>
              </w:rPr>
              <w:br w:type="textWrapping"/>
            </w:r>
            <w:r>
              <w:rPr>
                <w:rFonts w:hint="eastAsia" w:ascii="宋体" w:hAnsi="宋体" w:eastAsia="宋体" w:cs="宋体"/>
                <w:b/>
                <w:bCs/>
                <w:i w:val="0"/>
                <w:color w:val="000000"/>
                <w:kern w:val="0"/>
                <w:sz w:val="21"/>
                <w:szCs w:val="21"/>
                <w:highlight w:val="none"/>
                <w:u w:val="none"/>
                <w:lang w:val="en-US" w:eastAsia="zh-CN" w:bidi="ar"/>
              </w:rPr>
              <w:t>*</w:t>
            </w:r>
            <w:r>
              <w:rPr>
                <w:rFonts w:hint="eastAsia" w:ascii="宋体" w:hAnsi="宋体" w:cs="宋体"/>
                <w:b/>
                <w:bCs/>
                <w:i w:val="0"/>
                <w:color w:val="000000"/>
                <w:kern w:val="0"/>
                <w:sz w:val="21"/>
                <w:szCs w:val="21"/>
                <w:highlight w:val="none"/>
                <w:u w:val="none"/>
                <w:lang w:val="en-US" w:eastAsia="zh-CN" w:bidi="ar"/>
              </w:rPr>
              <w:t>3</w:t>
            </w:r>
            <w:r>
              <w:rPr>
                <w:rFonts w:hint="eastAsia" w:ascii="宋体" w:hAnsi="宋体" w:eastAsia="宋体" w:cs="宋体"/>
                <w:b/>
                <w:bCs/>
                <w:i w:val="0"/>
                <w:color w:val="000000"/>
                <w:kern w:val="0"/>
                <w:sz w:val="21"/>
                <w:szCs w:val="21"/>
                <w:highlight w:val="none"/>
                <w:u w:val="none"/>
                <w:lang w:val="en-US" w:eastAsia="zh-CN" w:bidi="ar"/>
              </w:rPr>
              <w:t>.上行支持1个GE自适应以太口，下行支持4个GE口，；</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w:t>
            </w:r>
            <w:r>
              <w:rPr>
                <w:rFonts w:hint="eastAsia" w:ascii="宋体" w:hAnsi="宋体" w:cs="宋体"/>
                <w:b/>
                <w:bCs/>
                <w:i w:val="0"/>
                <w:color w:val="000000"/>
                <w:kern w:val="0"/>
                <w:sz w:val="21"/>
                <w:szCs w:val="21"/>
                <w:u w:val="none"/>
                <w:lang w:val="en-US" w:eastAsia="zh-CN" w:bidi="ar"/>
              </w:rPr>
              <w:t>4</w:t>
            </w:r>
            <w:r>
              <w:rPr>
                <w:rFonts w:hint="eastAsia" w:ascii="宋体" w:hAnsi="宋体" w:eastAsia="宋体" w:cs="宋体"/>
                <w:b/>
                <w:bCs/>
                <w:i w:val="0"/>
                <w:color w:val="000000"/>
                <w:kern w:val="0"/>
                <w:sz w:val="21"/>
                <w:szCs w:val="21"/>
                <w:u w:val="none"/>
                <w:lang w:val="en-US" w:eastAsia="zh-CN" w:bidi="ar"/>
              </w:rPr>
              <w:t>.支持2个RJ45透传口，提供官网截图或产品样本或第三方测试报告等证明材料；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w:t>
            </w:r>
            <w:r>
              <w:rPr>
                <w:rFonts w:hint="eastAsia" w:ascii="宋体" w:hAnsi="宋体" w:cs="宋体"/>
                <w:b/>
                <w:bCs/>
                <w:i w:val="0"/>
                <w:color w:val="000000"/>
                <w:kern w:val="0"/>
                <w:sz w:val="21"/>
                <w:szCs w:val="21"/>
                <w:u w:val="none"/>
                <w:lang w:val="en-US" w:eastAsia="zh-CN" w:bidi="ar"/>
              </w:rPr>
              <w:t>5</w:t>
            </w:r>
            <w:r>
              <w:rPr>
                <w:rFonts w:hint="eastAsia" w:ascii="宋体" w:hAnsi="宋体" w:eastAsia="宋体" w:cs="宋体"/>
                <w:b/>
                <w:bCs/>
                <w:i w:val="0"/>
                <w:color w:val="000000"/>
                <w:kern w:val="0"/>
                <w:sz w:val="21"/>
                <w:szCs w:val="21"/>
                <w:u w:val="none"/>
                <w:lang w:val="en-US" w:eastAsia="zh-CN" w:bidi="ar"/>
              </w:rPr>
              <w:t>.内置智能天线，提供官网截图或产品样本或第三方测试报告等证明材料；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cs="宋体"/>
                <w:b/>
                <w:bCs/>
                <w:i w:val="0"/>
                <w:color w:val="000000"/>
                <w:kern w:val="0"/>
                <w:sz w:val="21"/>
                <w:szCs w:val="21"/>
                <w:u w:val="none"/>
                <w:lang w:val="en-US" w:eastAsia="zh-CN" w:bidi="ar"/>
              </w:rPr>
              <w:t>6</w:t>
            </w:r>
            <w:r>
              <w:rPr>
                <w:rFonts w:hint="eastAsia" w:ascii="宋体" w:hAnsi="宋体" w:eastAsia="宋体" w:cs="宋体"/>
                <w:b/>
                <w:bCs/>
                <w:i w:val="0"/>
                <w:color w:val="000000"/>
                <w:kern w:val="0"/>
                <w:sz w:val="21"/>
                <w:szCs w:val="21"/>
                <w:u w:val="none"/>
                <w:lang w:val="en-US" w:eastAsia="zh-CN" w:bidi="ar"/>
              </w:rPr>
              <w:t>.支持AP本地转发（又称直接转发）时，应用识别和QOS分类</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w:t>
            </w:r>
            <w:r>
              <w:rPr>
                <w:rFonts w:hint="eastAsia" w:ascii="宋体" w:hAnsi="宋体" w:cs="宋体"/>
                <w:b/>
                <w:bCs/>
                <w:i w:val="0"/>
                <w:color w:val="000000"/>
                <w:kern w:val="0"/>
                <w:sz w:val="21"/>
                <w:szCs w:val="21"/>
                <w:u w:val="none"/>
                <w:lang w:val="en-US" w:eastAsia="zh-CN" w:bidi="ar"/>
              </w:rPr>
              <w:t>7</w:t>
            </w:r>
            <w:r>
              <w:rPr>
                <w:rFonts w:hint="eastAsia" w:ascii="宋体" w:hAnsi="宋体" w:eastAsia="宋体" w:cs="宋体"/>
                <w:b/>
                <w:bCs/>
                <w:i w:val="0"/>
                <w:color w:val="000000"/>
                <w:kern w:val="0"/>
                <w:sz w:val="21"/>
                <w:szCs w:val="21"/>
                <w:u w:val="none"/>
                <w:lang w:val="en-US" w:eastAsia="zh-CN" w:bidi="ar"/>
              </w:rPr>
              <w:t>.支持DTLS/Ipsec硬件加密，提供官网截图或产品样本或第三方测试报告等证明材料；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cs="宋体"/>
                <w:b w:val="0"/>
                <w:bCs w:val="0"/>
                <w:i w:val="0"/>
                <w:color w:val="000000"/>
                <w:kern w:val="0"/>
                <w:sz w:val="21"/>
                <w:szCs w:val="21"/>
                <w:u w:val="none"/>
                <w:lang w:val="en-US" w:eastAsia="zh-CN" w:bidi="ar"/>
              </w:rPr>
              <w:t>8</w:t>
            </w:r>
            <w:r>
              <w:rPr>
                <w:rFonts w:hint="eastAsia" w:ascii="宋体" w:hAnsi="宋体" w:eastAsia="宋体" w:cs="宋体"/>
                <w:b w:val="0"/>
                <w:bCs w:val="0"/>
                <w:i w:val="0"/>
                <w:color w:val="000000"/>
                <w:kern w:val="0"/>
                <w:sz w:val="21"/>
                <w:szCs w:val="21"/>
                <w:u w:val="none"/>
                <w:lang w:val="en-US" w:eastAsia="zh-CN" w:bidi="ar"/>
              </w:rPr>
              <w:t>.支持DC供电或802.3at/af PoE供电；</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w:t>
            </w:r>
            <w:r>
              <w:rPr>
                <w:rFonts w:hint="eastAsia" w:ascii="宋体" w:hAnsi="宋体" w:cs="宋体"/>
                <w:b/>
                <w:bCs/>
                <w:i w:val="0"/>
                <w:color w:val="000000"/>
                <w:kern w:val="0"/>
                <w:sz w:val="21"/>
                <w:szCs w:val="21"/>
                <w:u w:val="none"/>
                <w:lang w:val="en-US" w:eastAsia="zh-CN" w:bidi="ar"/>
              </w:rPr>
              <w:t>9</w:t>
            </w:r>
            <w:r>
              <w:rPr>
                <w:rFonts w:hint="eastAsia" w:ascii="宋体" w:hAnsi="宋体" w:eastAsia="宋体" w:cs="宋体"/>
                <w:b/>
                <w:bCs/>
                <w:i w:val="0"/>
                <w:color w:val="000000"/>
                <w:kern w:val="0"/>
                <w:sz w:val="21"/>
                <w:szCs w:val="21"/>
                <w:u w:val="none"/>
                <w:lang w:val="en-US" w:eastAsia="zh-CN" w:bidi="ar"/>
              </w:rPr>
              <w:t>.提供无线电发射设备型号核准证，在官网可查；</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5"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放装AP</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*1.支持802.11ax标准；支持2.4GHz/5GHz双频段，总空间流数4；整机速率≥1.7Gbps</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*2.支持≥2个10/100/1000Mbps自适应以太口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3.支持蓝牙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·4.支持内置IoT槽位，可扩展RFID.ZigBee.等IoT模块，提供官网截图或产品样本或第三方测试报告等证明材料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5.支持AP本地转发（又称直接转发）时，应用识别和QOS分类，针对业界常用应用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6.支持频谱分析功能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7.支持AP 智能升级，支持基于信道对 AP 进⾏分组，各组依次升级，保障升级过程中业务不中断，提供官网截图或产品样本或第三方测试报告等证明材料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·8.支持DTLS/Ipsec硬件加密，提供官网截图或产品样本或第三方测试报告等证明材料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9.支持DC供电或802.3at/af PoE供电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·10.提供无线电发射设备型号核准证，在官网可查</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·11.提供Wi-Fi联盟认证，在官网可查</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53"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5.6</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无线控制器</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*1.单台AC最大管理AP数量≥2K，提供官网截图或产品样本或第三方测试报告等证明材料；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·2.单台AC最大接入用户数量≥32K，提供官网截图或产品样本或第三方测试报告等证明材料；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*3.转发性能三层转发吞吐量≥100Gbps，提供官网截图或产品样本或第三方测试报告等证明材料；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4.单台AC支持双电源备份；支持电源模块热插拔时单电源供电。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·5.支持静态路由，RIP-1/RIP-2，OSPF，BGP，IS-IS，路由策略、策略路由，提供官网截图或产品样本或第三方测试报告等证明材料；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6.支持MAC 地址认证、802.1x认证（EAP-PAP、EAP-MD5、EAP-PEAP、EAP-TLS、EAP-TTLS）、Portal认证、MAC+Portal混合认证、WAPI认证；内置Portal/AAA服务器，可为用户提供Portal认证/802.1X服务；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·7.支持基于802.11k 和 802.11v协议的智能漫游，使低漫游灵敏度的客户端能漫游到最佳AP，提供官网截图或产品样本或第三方测试报告等证明材料；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·8.支持入侵防御、反病毒功能，提供官网截图或产品样本或第三方测试报告等证明材料；</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*9.实配：40G光口≥2个，10GE电口≥12个,AP管理授权≥760个，万兆多模光模块≥2个</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38"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POE交换机</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*1.交换容量≥670Gbps，包转发率≥180Mpps；</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·2.所有端口都支持802.3at POE+功能，提供第三方检测报告；</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·3.CPU芯片为国产芯片，提供第三方检测报告，报告内体现芯片型号；</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·4.支持模块化可插拔电源≥2；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5.支持静态路由.RIP V1/2.OSPF.IS-IS.BGP.RIPng.OSPFv3.BGP4+.ISISv6；</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6.支持802.1x.MAC认证；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7.支持CPU保护功能；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8.支持SNMPv1/v2/v3.Telnet.RMON.SSH，支持通过命令行.Web.中文图形化配置软件等方式进行配置和管理，支持自动配置.批量升级；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9.支持能效以太网EEE节能环保；</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·10.提供工信部入网证；</w:t>
            </w:r>
            <w:r>
              <w:rPr>
                <w:rFonts w:hint="eastAsia" w:ascii="宋体" w:hAnsi="宋体" w:eastAsia="宋体" w:cs="宋体"/>
                <w:b/>
                <w:bCs/>
                <w:i w:val="0"/>
                <w:color w:val="000000"/>
                <w:kern w:val="0"/>
                <w:sz w:val="21"/>
                <w:szCs w:val="21"/>
                <w:u w:val="none"/>
                <w:lang w:val="en-US" w:eastAsia="zh-CN" w:bidi="ar"/>
              </w:rPr>
              <w:br w:type="textWrapping"/>
            </w:r>
            <w:r>
              <w:rPr>
                <w:rFonts w:hint="eastAsia" w:ascii="宋体" w:hAnsi="宋体" w:eastAsia="宋体" w:cs="宋体"/>
                <w:b/>
                <w:bCs/>
                <w:i w:val="0"/>
                <w:color w:val="000000"/>
                <w:kern w:val="0"/>
                <w:sz w:val="21"/>
                <w:szCs w:val="21"/>
                <w:u w:val="none"/>
                <w:lang w:val="en-US" w:eastAsia="zh-CN" w:bidi="ar"/>
              </w:rPr>
              <w:t>*11.实配：10/100/1000Base-T以太网端口≥48，万兆光口≥4，万兆堆叠口≥2，交流电源≥2个，电源≥600W，10GE多模模块≥4个,3M长 10G堆叠线缆≥1</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5" w:hRule="atLeast"/>
          <w:tblHeader/>
          <w:jc w:val="center"/>
        </w:trPr>
        <w:tc>
          <w:tcPr>
            <w:tcW w:w="6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w:t>
            </w:r>
          </w:p>
        </w:tc>
        <w:tc>
          <w:tcPr>
            <w:tcW w:w="11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综合布线</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1550个信息点</w:t>
            </w:r>
          </w:p>
        </w:tc>
        <w:tc>
          <w:tcPr>
            <w:tcW w:w="73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r>
              <w:rPr>
                <w:rFonts w:hint="eastAsia" w:ascii="宋体" w:hAnsi="宋体" w:eastAsia="宋体" w:cs="宋体"/>
                <w:i w:val="0"/>
                <w:color w:val="000000"/>
                <w:kern w:val="0"/>
                <w:sz w:val="21"/>
                <w:szCs w:val="21"/>
                <w:u w:val="none"/>
                <w:lang w:val="en-US" w:eastAsia="zh-CN" w:bidi="ar"/>
              </w:rPr>
              <w:t>本项为实质性响应条款，不接受负偏离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4" w:hRule="atLeast"/>
          <w:tblHeader/>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楼间交换机光缆连接，双绞线链接各终端。双绞线最低要求超五类双绞线。</w:t>
            </w:r>
          </w:p>
        </w:tc>
        <w:tc>
          <w:tcPr>
            <w:tcW w:w="73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0" w:hRule="atLeast"/>
          <w:tblHeader/>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每层楼的干线要达千兆到桌面，主干线路达到千兆，信息点距离100米以内。</w:t>
            </w:r>
          </w:p>
        </w:tc>
        <w:tc>
          <w:tcPr>
            <w:tcW w:w="73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8" w:hRule="atLeast"/>
          <w:tblHeader/>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打线器、压线钳、剥线钳、钢丝钳、尖嘴钳、斜口钳、螺丝刀、测线器、扳手、尺子、电钻、等重要工具，施工方自备。</w:t>
            </w:r>
          </w:p>
        </w:tc>
        <w:tc>
          <w:tcPr>
            <w:tcW w:w="73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5" w:hRule="atLeast"/>
          <w:tblHeader/>
          <w:jc w:val="center"/>
        </w:trPr>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项目安装调试，信息点布线实施。</w:t>
            </w:r>
          </w:p>
        </w:tc>
        <w:tc>
          <w:tcPr>
            <w:tcW w:w="73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5" w:hRule="atLeast"/>
          <w:tblHeader/>
          <w:jc w:val="center"/>
        </w:trPr>
        <w:tc>
          <w:tcPr>
            <w:tcW w:w="986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5"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6</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售后服务</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提供原厂授权承诺函且加盖投标方公章。</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7"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保修年限</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产品验收合格并办理正式移交使用手续后开始计算,提供免费保修年限≥3年。</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6" w:hRule="atLeast"/>
          <w:tblHeader/>
          <w:jc w:val="center"/>
        </w:trPr>
        <w:tc>
          <w:tcPr>
            <w:tcW w:w="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6.2</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预防性维修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/定期维护保养</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保修期内按季度巡检，每年四次巡检，并提供巡检报告。</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81"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6.3</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维修响应时间</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（1）服务期内出现紧急故障情况，公司应在收到服务请求后30分钟内响应，必要时2个小时内到现场，4个小时内解决问题。</w:t>
            </w:r>
          </w:p>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（2）项目实施需由原厂工程师完成</w:t>
            </w:r>
          </w:p>
          <w:p>
            <w:pPr>
              <w:keepNext w:val="0"/>
              <w:keepLines w:val="0"/>
              <w:widowControl/>
              <w:suppressLineNumbers w:val="0"/>
              <w:jc w:val="left"/>
              <w:textAlignment w:val="center"/>
              <w:rPr>
                <w:rFonts w:hint="default"/>
                <w:lang w:val="en-US" w:eastAsia="zh-CN"/>
              </w:rPr>
            </w:pPr>
            <w:r>
              <w:rPr>
                <w:rFonts w:hint="eastAsia" w:ascii="宋体" w:hAnsi="宋体" w:eastAsia="宋体" w:cs="宋体"/>
                <w:i w:val="0"/>
                <w:color w:val="000000"/>
                <w:kern w:val="0"/>
                <w:sz w:val="21"/>
                <w:szCs w:val="21"/>
                <w:u w:val="none"/>
                <w:lang w:val="en-US" w:eastAsia="zh-CN" w:bidi="ar"/>
              </w:rPr>
              <w:t>（3）提供原厂售后服务承诺函</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93"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升级与软件维护</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保修期内免费升级免费维护，包含设备更新及软件版本升级、功能模块、集成接口、硬件及硬件配件等。</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1"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提供使用培训和工程师培训：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提供视频培训资料；提高不少于3个工作日的现场培训；提供不少于5人次的原厂培训，并提供电子版技术文档、用户操作手册等。</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5" w:hRule="atLeast"/>
          <w:tblHeader/>
          <w:jc w:val="center"/>
        </w:trPr>
        <w:tc>
          <w:tcPr>
            <w:tcW w:w="687"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6.6</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交货期</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合同签订</w:t>
            </w:r>
            <w:r>
              <w:rPr>
                <w:rFonts w:hint="eastAsia" w:ascii="宋体" w:hAnsi="宋体" w:cs="宋体"/>
                <w:i w:val="0"/>
                <w:color w:val="000000"/>
                <w:kern w:val="0"/>
                <w:sz w:val="21"/>
                <w:szCs w:val="21"/>
                <w:u w:val="none"/>
                <w:lang w:val="en-US" w:eastAsia="zh-CN" w:bidi="ar"/>
              </w:rPr>
              <w:t>60天内</w:t>
            </w:r>
            <w:r>
              <w:rPr>
                <w:rFonts w:hint="eastAsia" w:ascii="宋体" w:hAnsi="宋体" w:eastAsia="宋体" w:cs="宋体"/>
                <w:i w:val="0"/>
                <w:color w:val="000000"/>
                <w:kern w:val="0"/>
                <w:sz w:val="21"/>
                <w:szCs w:val="21"/>
                <w:u w:val="none"/>
                <w:lang w:val="en-US" w:eastAsia="zh-CN" w:bidi="ar"/>
              </w:rPr>
              <w:t>交货</w:t>
            </w:r>
            <w:r>
              <w:rPr>
                <w:rFonts w:hint="eastAsia" w:ascii="宋体" w:hAnsi="宋体" w:cs="宋体"/>
                <w:i w:val="0"/>
                <w:color w:val="000000"/>
                <w:kern w:val="0"/>
                <w:sz w:val="21"/>
                <w:szCs w:val="21"/>
                <w:u w:val="none"/>
                <w:lang w:val="en-US" w:eastAsia="zh-CN" w:bidi="ar"/>
              </w:rPr>
              <w:t>，交货地点北京市海淀区。</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blHeader/>
          <w:jc w:val="center"/>
        </w:trPr>
        <w:tc>
          <w:tcPr>
            <w:tcW w:w="68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6.7</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付款方式</w:t>
            </w:r>
          </w:p>
        </w:tc>
        <w:tc>
          <w:tcPr>
            <w:tcW w:w="7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签订合同货到后付30%；验收合格后付65%；验收合格一年后付5%。</w:t>
            </w:r>
          </w:p>
        </w:tc>
        <w:tc>
          <w:tcPr>
            <w:tcW w:w="7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24" w:hRule="atLeast"/>
          <w:tblHeader/>
          <w:jc w:val="center"/>
        </w:trPr>
        <w:tc>
          <w:tcPr>
            <w:tcW w:w="9862" w:type="dxa"/>
            <w:gridSpan w:val="4"/>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b w:val="0"/>
                <w:bCs w:val="0"/>
                <w:color w:val="auto"/>
                <w:kern w:val="2"/>
                <w:sz w:val="21"/>
                <w:szCs w:val="21"/>
                <w:highlight w:val="none"/>
                <w:lang w:val="en-US" w:eastAsia="zh-CN"/>
              </w:rPr>
            </w:pPr>
            <w:r>
              <w:rPr>
                <w:rFonts w:hint="eastAsia" w:ascii="宋体" w:hAnsi="宋体" w:eastAsia="宋体" w:cs="宋体"/>
                <w:b w:val="0"/>
                <w:bCs w:val="0"/>
                <w:color w:val="auto"/>
                <w:kern w:val="2"/>
                <w:sz w:val="21"/>
                <w:szCs w:val="21"/>
                <w:highlight w:val="none"/>
                <w:lang w:val="en-US" w:eastAsia="zh-CN"/>
              </w:rPr>
              <w:t>备注：1.加注“*”号的技术指标为关键指标，≥1项未达到招标文件要求，即做废标处理。</w:t>
            </w:r>
            <w:r>
              <w:rPr>
                <w:rFonts w:hint="eastAsia" w:ascii="宋体" w:hAnsi="宋体" w:eastAsia="宋体" w:cs="宋体"/>
                <w:b w:val="0"/>
                <w:bCs w:val="0"/>
                <w:color w:val="auto"/>
                <w:kern w:val="2"/>
                <w:sz w:val="21"/>
                <w:szCs w:val="21"/>
                <w:highlight w:val="none"/>
                <w:lang w:val="en-US" w:eastAsia="zh-CN"/>
              </w:rPr>
              <w:br w:type="textWrapping"/>
            </w:r>
            <w:r>
              <w:rPr>
                <w:rFonts w:hint="eastAsia" w:ascii="宋体" w:hAnsi="宋体" w:eastAsia="宋体" w:cs="宋体"/>
                <w:b w:val="0"/>
                <w:bCs w:val="0"/>
                <w:color w:val="auto"/>
                <w:kern w:val="2"/>
                <w:sz w:val="21"/>
                <w:szCs w:val="21"/>
                <w:highlight w:val="none"/>
                <w:lang w:val="en-US" w:eastAsia="zh-CN"/>
              </w:rPr>
              <w:t xml:space="preserve">      2.加注“·”号的技术指标为重要指标。</w:t>
            </w:r>
          </w:p>
          <w:p>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rFonts w:hint="eastAsia" w:ascii="宋体" w:hAnsi="宋体" w:eastAsia="宋体" w:cs="宋体"/>
                <w:b w:val="0"/>
                <w:bCs w:val="0"/>
                <w:color w:val="auto"/>
                <w:kern w:val="2"/>
                <w:sz w:val="21"/>
                <w:szCs w:val="21"/>
                <w:highlight w:val="none"/>
                <w:lang w:val="en-US" w:eastAsia="zh-CN"/>
              </w:rPr>
            </w:pPr>
            <w:r>
              <w:rPr>
                <w:rFonts w:hint="eastAsia" w:ascii="宋体" w:hAnsi="宋体" w:eastAsia="宋体" w:cs="宋体"/>
                <w:b w:val="0"/>
                <w:bCs w:val="0"/>
                <w:color w:val="auto"/>
                <w:kern w:val="2"/>
                <w:sz w:val="21"/>
                <w:szCs w:val="21"/>
                <w:highlight w:val="none"/>
                <w:lang w:val="en-US" w:eastAsia="zh-CN"/>
              </w:rPr>
              <w:t>3.所有商务要求均为实质性响应条款，≥1项未达到招标文件要求，即做废标处理。</w:t>
            </w:r>
            <w:r>
              <w:rPr>
                <w:rFonts w:hint="eastAsia" w:ascii="宋体" w:hAnsi="宋体" w:eastAsia="宋体" w:cs="宋体"/>
                <w:b w:val="0"/>
                <w:bCs w:val="0"/>
                <w:color w:val="auto"/>
                <w:kern w:val="2"/>
                <w:sz w:val="21"/>
                <w:szCs w:val="21"/>
                <w:highlight w:val="none"/>
                <w:lang w:val="en-US" w:eastAsia="zh-CN"/>
              </w:rPr>
              <w:br w:type="textWrapping"/>
            </w:r>
            <w:r>
              <w:rPr>
                <w:rFonts w:hint="eastAsia" w:ascii="宋体" w:hAnsi="宋体" w:eastAsia="宋体" w:cs="宋体"/>
                <w:b w:val="0"/>
                <w:bCs w:val="0"/>
                <w:color w:val="auto"/>
                <w:kern w:val="2"/>
                <w:sz w:val="21"/>
                <w:szCs w:val="21"/>
                <w:highlight w:val="none"/>
                <w:lang w:val="en-US" w:eastAsia="zh-CN"/>
              </w:rPr>
              <w:t xml:space="preserve">    </w:t>
            </w:r>
            <w:r>
              <w:rPr>
                <w:rFonts w:hint="eastAsia" w:ascii="宋体" w:hAnsi="宋体" w:cs="宋体"/>
                <w:b w:val="0"/>
                <w:bCs w:val="0"/>
                <w:color w:val="auto"/>
                <w:kern w:val="2"/>
                <w:sz w:val="21"/>
                <w:szCs w:val="21"/>
                <w:highlight w:val="none"/>
                <w:lang w:val="en-US" w:eastAsia="zh-CN"/>
              </w:rPr>
              <w:t xml:space="preserve">  4</w:t>
            </w:r>
            <w:r>
              <w:rPr>
                <w:rFonts w:hint="eastAsia" w:ascii="宋体" w:hAnsi="宋体" w:eastAsia="宋体" w:cs="宋体"/>
                <w:b w:val="0"/>
                <w:bCs w:val="0"/>
                <w:color w:val="auto"/>
                <w:kern w:val="2"/>
                <w:sz w:val="21"/>
                <w:szCs w:val="21"/>
                <w:highlight w:val="none"/>
                <w:lang w:val="en-US" w:eastAsia="zh-CN"/>
              </w:rPr>
              <w:t>.加注“*”、“·”号的技术指标均需投标企业提供证明材料。</w:t>
            </w:r>
          </w:p>
          <w:p>
            <w:pPr>
              <w:ind w:firstLine="422" w:firstLineChars="200"/>
              <w:jc w:val="left"/>
              <w:rPr>
                <w:rFonts w:hint="eastAsia" w:ascii="仿宋_GB2312" w:hAnsi="宋体" w:eastAsia="仿宋_GB2312" w:cs="仿宋_GB2312"/>
                <w:i w:val="0"/>
                <w:color w:val="000000"/>
                <w:sz w:val="21"/>
                <w:szCs w:val="21"/>
                <w:u w:val="none"/>
              </w:rPr>
            </w:pPr>
            <w:r>
              <w:rPr>
                <w:rFonts w:hint="eastAsia" w:ascii="宋体" w:hAnsi="宋体" w:eastAsia="宋体" w:cs="宋体"/>
                <w:b/>
                <w:bCs/>
                <w:color w:val="auto"/>
                <w:kern w:val="2"/>
                <w:sz w:val="21"/>
                <w:szCs w:val="21"/>
                <w:highlight w:val="none"/>
                <w:lang w:eastAsia="zh-CN"/>
              </w:rPr>
              <w:t>供应商须提供相关技术指标证明材料予以佐证（证明材料不限于资质证书、</w:t>
            </w:r>
            <w:r>
              <w:rPr>
                <w:rFonts w:hint="eastAsia" w:ascii="宋体" w:hAnsi="宋体" w:cs="宋体"/>
                <w:b/>
                <w:bCs/>
                <w:color w:val="auto"/>
                <w:kern w:val="2"/>
                <w:sz w:val="21"/>
                <w:szCs w:val="21"/>
                <w:highlight w:val="none"/>
                <w:lang w:eastAsia="zh-CN"/>
              </w:rPr>
              <w:t>业绩案例、响应承诺，以及产品规格表、制造商官方网站发布的产品信息、说明书等或检测机构出具的检测报告等技术资料支持的产品彩页、技术白皮书、厂家出具的技术证明文件、实物照片、软件功能截图</w:t>
            </w:r>
            <w:r>
              <w:rPr>
                <w:rFonts w:hint="eastAsia" w:ascii="宋体" w:hAnsi="宋体" w:eastAsia="宋体" w:cs="宋体"/>
                <w:b/>
                <w:bCs/>
                <w:color w:val="auto"/>
                <w:kern w:val="2"/>
                <w:sz w:val="21"/>
                <w:szCs w:val="21"/>
                <w:highlight w:val="none"/>
                <w:lang w:eastAsia="zh-CN"/>
              </w:rPr>
              <w:t>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06806"/>
    <w:rsid w:val="6BD0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2023-09-01T07:02:00Z</dcterms:created>
  <dc:creator>why</dc:creator>
  <cp:lastModifiedBy>why</cp:lastModifiedBy>
  <dcterms:modified xsi:type="dcterms:W3CDTF">2023-09-01T07:02:47Z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