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outlineLvl w:val="0"/>
        <w:rPr>
          <w:rFonts w:eastAsia="方正小标宋简体"/>
          <w:kern w:val="0"/>
          <w:sz w:val="44"/>
          <w:szCs w:val="44"/>
        </w:rPr>
      </w:pPr>
      <w:r>
        <w:rPr>
          <w:rFonts w:hint="eastAsia" w:eastAsia="方正小标宋简体"/>
          <w:kern w:val="0"/>
          <w:sz w:val="44"/>
          <w:szCs w:val="44"/>
        </w:rPr>
        <w:t>采购项目商务和技术要求</w:t>
      </w:r>
    </w:p>
    <w:tbl>
      <w:tblPr>
        <w:tblStyle w:val="6"/>
        <w:tblW w:w="9457" w:type="dxa"/>
        <w:tblInd w:w="0" w:type="dxa"/>
        <w:tblLayout w:type="fixed"/>
        <w:tblCellMar>
          <w:top w:w="0" w:type="dxa"/>
          <w:left w:w="108" w:type="dxa"/>
          <w:bottom w:w="0" w:type="dxa"/>
          <w:right w:w="108" w:type="dxa"/>
        </w:tblCellMar>
      </w:tblPr>
      <w:tblGrid>
        <w:gridCol w:w="93"/>
        <w:gridCol w:w="653"/>
        <w:gridCol w:w="427"/>
        <w:gridCol w:w="186"/>
        <w:gridCol w:w="1534"/>
        <w:gridCol w:w="51"/>
        <w:gridCol w:w="5190"/>
        <w:gridCol w:w="459"/>
        <w:gridCol w:w="620"/>
        <w:gridCol w:w="244"/>
      </w:tblGrid>
      <w:tr>
        <w:tblPrEx>
          <w:tblLayout w:type="fixed"/>
          <w:tblCellMar>
            <w:top w:w="0" w:type="dxa"/>
            <w:left w:w="108" w:type="dxa"/>
            <w:bottom w:w="0" w:type="dxa"/>
            <w:right w:w="108" w:type="dxa"/>
          </w:tblCellMar>
        </w:tblPrEx>
        <w:trPr>
          <w:trHeight w:val="647" w:hRule="atLeast"/>
        </w:trPr>
        <w:tc>
          <w:tcPr>
            <w:tcW w:w="7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lang w:eastAsia="zh-CN"/>
              </w:rPr>
            </w:pPr>
            <w:bookmarkStart w:id="0" w:name="_Toc17994"/>
            <w:r>
              <w:rPr>
                <w:rFonts w:hint="eastAsia" w:ascii="黑体" w:hAnsi="黑体" w:eastAsia="黑体" w:cs="宋体"/>
                <w:kern w:val="0"/>
                <w:sz w:val="24"/>
                <w:lang w:eastAsia="zh-CN"/>
              </w:rPr>
              <w:t>类型</w:t>
            </w: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黑体"/>
                <w:i w:val="0"/>
                <w:color w:val="000000"/>
                <w:kern w:val="0"/>
                <w:sz w:val="20"/>
                <w:szCs w:val="20"/>
                <w:u w:val="none"/>
                <w:lang w:val="en-US" w:eastAsia="zh-CN" w:bidi="ar"/>
              </w:rPr>
            </w:pPr>
            <w:r>
              <w:rPr>
                <w:rFonts w:hint="eastAsia" w:ascii="黑体" w:hAnsi="黑体" w:eastAsia="黑体" w:cs="宋体"/>
                <w:kern w:val="0"/>
                <w:sz w:val="24"/>
              </w:rPr>
              <w:t>序号</w:t>
            </w:r>
          </w:p>
        </w:tc>
        <w:tc>
          <w:tcPr>
            <w:tcW w:w="15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技术和性能参数名称</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招标参数和性能要求</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rPr>
            </w:pPr>
            <w:r>
              <w:rPr>
                <w:rFonts w:hint="eastAsia" w:ascii="黑体" w:hAnsi="黑体" w:eastAsia="黑体" w:cs="宋体"/>
                <w:kern w:val="0"/>
                <w:sz w:val="24"/>
              </w:rPr>
              <w:t>备注</w:t>
            </w:r>
          </w:p>
        </w:tc>
      </w:tr>
      <w:tr>
        <w:tblPrEx>
          <w:tblLayout w:type="fixed"/>
          <w:tblCellMar>
            <w:top w:w="0" w:type="dxa"/>
            <w:left w:w="108" w:type="dxa"/>
            <w:bottom w:w="0" w:type="dxa"/>
            <w:right w:w="108" w:type="dxa"/>
          </w:tblCellMar>
        </w:tblPrEx>
        <w:trPr>
          <w:trHeight w:val="1282" w:hRule="atLeast"/>
        </w:trPr>
        <w:tc>
          <w:tcPr>
            <w:tcW w:w="7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符合性要求</w:t>
            </w: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服务要求</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提供保外服务器及存储设备升级和维修所需的零配件；对机房保外服务器及存储设备进行定期的健康巡检查漏补缺；解决设备应急故障，提供系统及数据恢复；为业务系统提供良好的运行环境，确保保外服务器及存储设备相关软硬件安全、稳定和高效运行。</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宋体" w:hAnsi="宋体" w:cs="宋体"/>
                <w:kern w:val="0"/>
                <w:sz w:val="21"/>
                <w:szCs w:val="21"/>
                <w:lang w:val="en-US" w:eastAsia="zh-CN"/>
              </w:rPr>
              <w:t>提供承诺函</w:t>
            </w:r>
            <w:r>
              <w:rPr>
                <w:rFonts w:hint="eastAsia" w:ascii="黑体" w:hAnsi="黑体" w:eastAsia="黑体" w:cs="宋体"/>
                <w:kern w:val="0"/>
                <w:sz w:val="24"/>
              </w:rPr>
              <w:t>　</w:t>
            </w:r>
          </w:p>
        </w:tc>
      </w:tr>
      <w:tr>
        <w:tblPrEx>
          <w:tblLayout w:type="fixed"/>
          <w:tblCellMar>
            <w:top w:w="0" w:type="dxa"/>
            <w:left w:w="108" w:type="dxa"/>
            <w:bottom w:w="0" w:type="dxa"/>
            <w:right w:w="108" w:type="dxa"/>
          </w:tblCellMar>
        </w:tblPrEx>
        <w:trPr>
          <w:trHeight w:val="717" w:hRule="atLeast"/>
        </w:trPr>
        <w:tc>
          <w:tcPr>
            <w:tcW w:w="746" w:type="dxa"/>
            <w:gridSpan w:val="2"/>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资格性要求</w:t>
            </w:r>
          </w:p>
        </w:tc>
        <w:tc>
          <w:tcPr>
            <w:tcW w:w="613" w:type="dxa"/>
            <w:gridSpan w:val="2"/>
            <w:tcBorders>
              <w:top w:val="single" w:color="auto" w:sz="4" w:space="0"/>
              <w:left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人员资格</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服务技术人员（包含项目经理）需具有三年以上服务器及存储设备维护及项目管理实施经验。</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58" w:hRule="atLeast"/>
        </w:trPr>
        <w:tc>
          <w:tcPr>
            <w:tcW w:w="746" w:type="dxa"/>
            <w:gridSpan w:val="2"/>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技术性要求</w:t>
            </w:r>
          </w:p>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21"/>
                <w:szCs w:val="21"/>
                <w:lang w:val="en-US" w:eastAsia="zh-CN"/>
              </w:rPr>
            </w:pPr>
            <w:r>
              <w:rPr>
                <w:rFonts w:hint="eastAsia" w:ascii="宋体" w:hAnsi="宋体" w:eastAsia="宋体" w:cs="宋体"/>
                <w:i w:val="0"/>
                <w:color w:val="000000"/>
                <w:kern w:val="0"/>
                <w:sz w:val="24"/>
                <w:szCs w:val="24"/>
                <w:u w:val="none"/>
                <w:lang w:val="en-US" w:eastAsia="zh-CN" w:bidi="ar"/>
              </w:rPr>
              <w:t>•1</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项目经理</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具备资质</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具有高级信息系统项目管理师或PMP证书</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617"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•2</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团队其他人员</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具备资质</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团队中有信息系统运维管理工程师，提供证书复印件</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3</w:t>
            </w:r>
          </w:p>
        </w:tc>
        <w:tc>
          <w:tcPr>
            <w:tcW w:w="1534" w:type="dxa"/>
            <w:vMerge w:val="restart"/>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服务方案</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1.提供维保目录内所有过保服务器及存储设备技术支持、现场维护及故障维修服务，关键设备出现故障时，提供快速修复服务及备机替代服务；</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提供维保目录内所有过保服务器及存储设备升级扩充与维修维护使用的硬盘、电源、磁带、内存、存储控制器等备件，能与现有设备兼容。设备维修所需所有零配件涉及费用均包含在本项目中，不再单独收取费用。</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3.提供专家团队技术支持，提供系统及数据恢复服务；</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4.提供定期上门巡检和升级服务；</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5.服务器、存储的故障配件归医院所有，硬盘因保密原因，不返厂维修，全部更换新盘。如确需将硬盘拿至厂商修复（例如数据恢复），需签订保密协议；</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6.服务技术人员在维护服务过程中，阶段性向院方征集维护需求，升级维护前需提交详细实施方案，维护完成后记录完整的维护内容并规范程序版本控制。</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7.除电话远程指导服务外，服务技术人员进行的各类各种方式的维护服务均应逐次书写详细规范的维护记录，一式两份，双方各存一份。</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宋体" w:hAnsi="宋体" w:cs="宋体"/>
                <w:kern w:val="0"/>
                <w:sz w:val="21"/>
                <w:szCs w:val="21"/>
                <w:lang w:val="en-US" w:eastAsia="zh-CN"/>
              </w:rPr>
              <w:t>提供承诺函</w:t>
            </w: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90"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p>
        </w:tc>
        <w:tc>
          <w:tcPr>
            <w:tcW w:w="1534" w:type="dxa"/>
            <w:vMerge w:val="continue"/>
            <w:tcBorders>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1.服务期内公司应在收到服务请求后30分钟内响应，2个小时内到达现场；紧急故障情况时1小时内到达现场，4个小时内解决问题；维修用零配件送货时间&lt;6小时。</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2.服务期内提供一年不少于4次的巡检服务并提供巡检报告。</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633"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5</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验收考核办法</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对照技术需求服务方案与合同约定逐条进行验收考核，全部满足即为验收通过。</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09" w:hRule="atLeast"/>
        </w:trPr>
        <w:tc>
          <w:tcPr>
            <w:tcW w:w="746"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6</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服务续期期限</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自合同签署日开始为期一年</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7</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付款方式</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签订合同且维保期满半年后，支付当年费用的50%，维保期满1年，且验收通过后，支付当年费用的50%。</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83" w:hRule="atLeast"/>
        </w:trPr>
        <w:tc>
          <w:tcPr>
            <w:tcW w:w="9457" w:type="dxa"/>
            <w:gridSpan w:val="10"/>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备注：1.</w:t>
            </w:r>
            <w:r>
              <w:rPr>
                <w:rFonts w:hint="eastAsia" w:cs="Times New Roman"/>
                <w:b/>
                <w:bCs/>
                <w:lang w:val="en-US" w:eastAsia="zh-CN"/>
              </w:rPr>
              <w:t>本项目所有技术参数均须响应，不允许负偏离，≥1项未达到招标文件要求，即做废标处理</w:t>
            </w:r>
            <w:r>
              <w:rPr>
                <w:rFonts w:hint="eastAsia" w:ascii="Times New Roman" w:hAnsi="Times New Roman" w:eastAsia="宋体" w:cs="Times New Roman"/>
                <w:b/>
                <w:bCs/>
                <w:lang w:val="en-US" w:eastAsia="zh-CN"/>
              </w:rPr>
              <w:t>。</w:t>
            </w:r>
          </w:p>
          <w:p>
            <w:pPr>
              <w:numPr>
                <w:ilvl w:val="0"/>
                <w:numId w:val="0"/>
              </w:numPr>
              <w:jc w:val="left"/>
              <w:rPr>
                <w:rFonts w:hint="eastAsia" w:ascii="Times New Roman" w:hAnsi="Times New Roman" w:eastAsia="宋体" w:cs="Times New Roman"/>
                <w:b/>
                <w:bCs/>
                <w:lang w:val="zh-CN" w:eastAsia="zh-CN"/>
              </w:rPr>
            </w:pPr>
            <w:r>
              <w:rPr>
                <w:rFonts w:hint="eastAsia" w:ascii="Times New Roman" w:hAnsi="Times New Roman" w:eastAsia="宋体" w:cs="Times New Roman"/>
                <w:b/>
                <w:bCs/>
                <w:lang w:val="en-US" w:eastAsia="zh-CN"/>
              </w:rPr>
              <w:t>2.加注“*”、“.”号的技术指标均需提供</w:t>
            </w:r>
            <w:r>
              <w:rPr>
                <w:rFonts w:hint="eastAsia" w:ascii="Times New Roman" w:hAnsi="Times New Roman" w:eastAsia="宋体" w:cs="Times New Roman"/>
                <w:b/>
                <w:bCs/>
                <w:lang w:val="zh-CN" w:eastAsia="zh-CN"/>
              </w:rPr>
              <w:t>证明材料。</w:t>
            </w:r>
          </w:p>
          <w:p>
            <w:pPr>
              <w:widowControl/>
              <w:jc w:val="left"/>
              <w:rPr>
                <w:rFonts w:hint="eastAsia" w:ascii="仿宋_GB2312" w:hAnsi="宋体" w:eastAsia="仿宋_GB2312" w:cs="宋体"/>
                <w:kern w:val="0"/>
                <w:sz w:val="22"/>
                <w:szCs w:val="22"/>
              </w:rPr>
            </w:pPr>
            <w:r>
              <w:rPr>
                <w:rFonts w:hint="eastAsia" w:ascii="Times New Roman" w:hAnsi="Times New Roman" w:eastAsia="宋体" w:cs="Times New Roman"/>
                <w:b/>
                <w:bCs/>
                <w:lang w:val="en-US" w:eastAsia="zh-CN"/>
              </w:rPr>
              <w:t>3.</w:t>
            </w:r>
            <w:r>
              <w:rPr>
                <w:rFonts w:hint="eastAsia" w:ascii="Times New Roman" w:hAnsi="Times New Roman" w:eastAsia="宋体" w:cs="Times New Roman"/>
                <w:b/>
                <w:bCs/>
                <w:lang w:val="zh-CN" w:eastAsia="zh-CN"/>
              </w:rPr>
              <w:t>供应商须提供相关技术指标证明材料予以佐证（证明材料不限于产品规格表、制造商官方网站发布的产品信息、说明书等或检测机构出具的检测报告等技术资料支持的、产品彩页、技术白皮书、厂家出具的技术证明文件、实物照片、软件功能截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63" w:hRule="atLeast"/>
        </w:trPr>
        <w:tc>
          <w:tcPr>
            <w:tcW w:w="9120" w:type="dxa"/>
            <w:gridSpan w:val="8"/>
            <w:tcBorders>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附件：服务器存储设备保外维修目录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序号</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设备名称</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型号</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联想X3650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联想SR650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联想SR530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联想RD450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联想3650M</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联想R510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联想SR658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联想R520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联想SR588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联想X3650 M5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华为2288H V5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华为H22H-05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IBMx3850 X5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IBMx3650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 X3650 M4</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 X3650 M3</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 V3500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DL388 Gen10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DL580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120G7</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DL388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DL380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DL360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HP DL388P</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DL160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R720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R620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R410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R720 </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R320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R230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T320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R550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超威　747-22</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SD2008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浪潮TS 860 </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H3C R4900 </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 2288H V5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AS500H（24）</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DELLemc unity</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VNX5300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EMC VNX</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MSA60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浪潮英信 NF5280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HPE 3par8440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Hsv300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bl>
    <w:p>
      <w:pPr>
        <w:pStyle w:val="2"/>
        <w:rPr>
          <w:rFonts w:hint="eastAsia"/>
        </w:rPr>
      </w:pPr>
    </w:p>
    <w:p>
      <w:pPr>
        <w:pStyle w:val="2"/>
        <w:rPr>
          <w:rFonts w:hint="eastAsia"/>
        </w:rPr>
      </w:pPr>
    </w:p>
    <w:bookmarkEnd w:id="0"/>
    <w:p>
      <w:bookmarkStart w:id="1" w:name="_GoBack"/>
      <w:bookmarkEnd w:id="1"/>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14935" cy="131445"/>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7052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V+SdAAAAADAQAADwAAAAAAAAABACAAAAAiAAAAZHJzL2Rvd25yZXYueG1sUEsBAhQAFAAAAAgA&#10;h07iQDjh/nn0AQAAwgMAAA4AAAAAAAAAAQAgAAAAHwEAAGRycy9lMm9Eb2MueG1sUEsFBgAAAAAG&#10;AAYAWQEAAIUFAAAAAA==&#10;">
              <v:fill on="f" focussize="0,0"/>
              <v:stroke on="f"/>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eastAsia="zh-CN"/>
      </w:rPr>
    </w:pPr>
    <w:r>
      <w:rPr>
        <w:rFonts w:hint="eastAsia"/>
        <w:lang w:eastAsia="zh-CN"/>
      </w:rPr>
      <w:t>第六章 采购项目商务和技术要求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2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王维武</cp:lastModifiedBy>
  <dcterms:modified xsi:type="dcterms:W3CDTF">2023-09-05T09:13:51Z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