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197" w:type="dxa"/>
        <w:jc w:val="center"/>
        <w:tblInd w:w="0" w:type="dxa"/>
        <w:shd w:val="clear" w:color="auto" w:fill="auto"/>
        <w:tblLayout w:type="fixed"/>
        <w:tblCellMar>
          <w:top w:w="0" w:type="dxa"/>
          <w:left w:w="0" w:type="dxa"/>
          <w:bottom w:w="0" w:type="dxa"/>
          <w:right w:w="0" w:type="dxa"/>
        </w:tblCellMar>
      </w:tblPr>
      <w:tblGrid>
        <w:gridCol w:w="819"/>
        <w:gridCol w:w="2991"/>
        <w:gridCol w:w="396"/>
        <w:gridCol w:w="1813"/>
        <w:gridCol w:w="682"/>
        <w:gridCol w:w="2523"/>
        <w:gridCol w:w="973"/>
      </w:tblGrid>
      <w:tr>
        <w:tblPrEx>
          <w:shd w:val="clear" w:color="auto" w:fill="auto"/>
          <w:tblLayout w:type="fixed"/>
          <w:tblCellMar>
            <w:top w:w="0" w:type="dxa"/>
            <w:left w:w="0" w:type="dxa"/>
            <w:bottom w:w="0" w:type="dxa"/>
            <w:right w:w="0" w:type="dxa"/>
          </w:tblCellMar>
        </w:tblPrEx>
        <w:trPr>
          <w:trHeight w:val="762" w:hRule="atLeast"/>
          <w:jc w:val="center"/>
        </w:trPr>
        <w:tc>
          <w:tcPr>
            <w:tcW w:w="10197"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default" w:ascii="方正小标宋简体" w:hAnsi="方正小标宋简体" w:eastAsia="方正小标宋简体" w:cs="方正小标宋简体"/>
                <w:b/>
                <w:i w:val="0"/>
                <w:color w:val="000000"/>
                <w:kern w:val="0"/>
                <w:sz w:val="40"/>
                <w:szCs w:val="40"/>
                <w:u w:val="none"/>
                <w:lang w:val="en-US" w:eastAsia="zh-CN" w:bidi="ar"/>
              </w:rPr>
              <w:t>医疗设备技术需求确认表</w:t>
            </w:r>
          </w:p>
        </w:tc>
      </w:tr>
      <w:tr>
        <w:tblPrEx>
          <w:tblLayout w:type="fixed"/>
          <w:tblCellMar>
            <w:top w:w="0" w:type="dxa"/>
            <w:left w:w="0" w:type="dxa"/>
            <w:bottom w:w="0" w:type="dxa"/>
            <w:right w:w="0" w:type="dxa"/>
          </w:tblCellMar>
        </w:tblPrEx>
        <w:trPr>
          <w:trHeight w:val="702"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设备名称</w:t>
            </w:r>
          </w:p>
        </w:tc>
        <w:tc>
          <w:tcPr>
            <w:tcW w:w="33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机器人关节六自由度生物力学测试系统</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总数量（台/套）</w:t>
            </w:r>
          </w:p>
        </w:tc>
        <w:tc>
          <w:tcPr>
            <w:tcW w:w="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预算总金额（万元）</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w:t>
            </w:r>
          </w:p>
        </w:tc>
      </w:tr>
      <w:tr>
        <w:tblPrEx>
          <w:tblLayout w:type="fixed"/>
          <w:tblCellMar>
            <w:top w:w="0" w:type="dxa"/>
            <w:left w:w="0" w:type="dxa"/>
            <w:bottom w:w="0" w:type="dxa"/>
            <w:right w:w="0" w:type="dxa"/>
          </w:tblCellMar>
        </w:tblPrEx>
        <w:trPr>
          <w:trHeight w:val="693"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序号</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技术和性能参数名称</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招标参数和性能要求</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1</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适用于进行关节标本的固定及进行关节标本在运动中的生物力学测试。</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技术和性能参数</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机械臂</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机器人本体须支持六轴运动，可驱动关节标本完成：前伸/后屈、内旋/外旋、内翻/外翻等旋转动作以及前后、内外侧和轴向位移动作</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体积重量与载荷</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体积</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高度≤2.8米，地面投影面积≤1.5平方米</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2.2.2</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重量</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≤1500kg</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*2.2.3</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最大载荷</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≥100kg</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示教器</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2.3.1</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示教器采用触摸屏控制</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2.3.2</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六自由度位置控制及编程功能</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2.3.3</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示教器操作范围</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≥10m</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防护等级</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≥IP54</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关节标本的固定数量</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≥8个</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六自由度力-力矩传感器</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2.6.1</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传感器量程</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≥1900N</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2.6.2</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传感器精度</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≥所测最大量程的1%</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软件三维六自由度计算功能</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机器人与传感器的数据同步传输功能</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·2.9.1</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迭代计算最优化关节力与力矩功能</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2.9.2</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实时计算并回放运动轨迹功能</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2.9.3</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最小间隔数据采集的角度值</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定位系统</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工作半径</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≥1.2米</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·2.10.2</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重复空间定位精度允差</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≤±0.1mm</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系统采样频率</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·2.11.1</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力学数据采集频率</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≥1000Hz</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bookmarkStart w:id="0" w:name="_GoBack" w:colFirst="0" w:colLast="4"/>
            <w:r>
              <w:rPr>
                <w:rFonts w:hint="eastAsia" w:ascii="宋体" w:hAnsi="宋体" w:eastAsia="宋体" w:cs="宋体"/>
                <w:i w:val="0"/>
                <w:color w:val="000000"/>
                <w:kern w:val="0"/>
                <w:sz w:val="22"/>
                <w:szCs w:val="22"/>
                <w:u w:val="none"/>
                <w:lang w:val="en-US" w:eastAsia="zh-CN" w:bidi="ar"/>
              </w:rPr>
              <w:t>2.11.2</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运动学数据采集频率</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≥200Hz</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bookmarkEnd w:id="0"/>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系统配置</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1.机械臂本体： 1台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2.定位系统： 1台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3.夹具系统： 1套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4.力学传感器： 1套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5.软件： 1套</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安装要求</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安装场地</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所需安装场地须≤5m*5m*3m</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地面承重</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≤2500kg</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电源要求</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三项交流电源，电压≤380V，电流≤16A</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售后条款</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原厂保修年限</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≥3年，保修期内开机率不低于95%（按365日/年计算，含节假日)，未达到要求的开机率天数，按双倍天数顺延保修期。</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零配件支持</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零配件保证供应时长</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制造商具备国内整机及零配件生产基地，零配件供应时长≥10年</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到位维修响应</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维修到达现场时间≤0.5个工作日（京内）</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维修到达现场时间≤3个工作日（京外）</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保修期外维修费用</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提供免费保修期外的年度整机保修费用价格，提供维修工时费计算方法及价格</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技术支持和服务网点</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提供全国主要城市售后服务网点及售后人员数量</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升级与软件维护</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保修期内免费升级和软件维护；保修期外，原软件维护仅收工时费</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专用工具、资料及其它</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提供设备配套的维修专用工具，资料（操作手册、维修手册等）</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29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培训</w:t>
            </w:r>
          </w:p>
        </w:tc>
        <w:tc>
          <w:tcPr>
            <w:tcW w:w="541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提供使用培训和工程师原厂培训</w:t>
            </w:r>
          </w:p>
        </w:tc>
        <w:tc>
          <w:tcPr>
            <w:tcW w:w="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1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5.10 </w:t>
            </w:r>
          </w:p>
        </w:tc>
        <w:tc>
          <w:tcPr>
            <w:tcW w:w="299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交货期</w:t>
            </w:r>
          </w:p>
        </w:tc>
        <w:tc>
          <w:tcPr>
            <w:tcW w:w="5414"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合同签订后6个月内交货</w:t>
            </w:r>
          </w:p>
        </w:tc>
        <w:tc>
          <w:tcPr>
            <w:tcW w:w="9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19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备注：1.加注“*”号的技术指标为关键指标，≥1项未达到招标文件要求，即做废标处理。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2.加注“·”号的技术指标为重要指标。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3.加注“*”、“·”号的技术指标均需投标企业提供证明材料。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Wingdings 2">
    <w:panose1 w:val="05020102010507070707"/>
    <w:charset w:val="00"/>
    <w:family w:val="auto"/>
    <w:pitch w:val="default"/>
    <w:sig w:usb0="00000000" w:usb1="00000000" w:usb2="00000000" w:usb3="00000000" w:csb0="80000000" w:csb1="00000000"/>
  </w:font>
  <w:font w:name="方正小标宋简体">
    <w:altName w:val="宋体-方正超大字符集"/>
    <w:panose1 w:val="00000000000000000000"/>
    <w:charset w:val="00"/>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61007A87" w:usb1="80000000" w:usb2="00000008" w:usb3="00000000" w:csb0="200101FF" w:csb1="20280000"/>
  </w:font>
  <w:font w:name="Latha">
    <w:panose1 w:val="02000400000000000000"/>
    <w:charset w:val="00"/>
    <w:family w:val="auto"/>
    <w:pitch w:val="default"/>
    <w:sig w:usb0="001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D45EB4"/>
    <w:rsid w:val="674F2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151"/>
    <w:basedOn w:val="3"/>
    <w:qFormat/>
    <w:uiPriority w:val="0"/>
    <w:rPr>
      <w:rFonts w:ascii="Wingdings 2" w:hAnsi="Wingdings 2" w:eastAsia="Wingdings 2" w:cs="Wingdings 2"/>
      <w:color w:val="000000"/>
      <w:sz w:val="22"/>
      <w:szCs w:val="22"/>
      <w:u w:val="none"/>
    </w:rPr>
  </w:style>
  <w:style w:type="character" w:customStyle="1" w:styleId="5">
    <w:name w:val="font31"/>
    <w:basedOn w:val="3"/>
    <w:qFormat/>
    <w:uiPriority w:val="0"/>
    <w:rPr>
      <w:rFonts w:hint="eastAsia" w:ascii="宋体" w:hAnsi="宋体" w:eastAsia="宋体" w:cs="宋体"/>
      <w:color w:val="000000"/>
      <w:sz w:val="22"/>
      <w:szCs w:val="22"/>
      <w:u w:val="none"/>
    </w:rPr>
  </w:style>
  <w:style w:type="character" w:customStyle="1" w:styleId="6">
    <w:name w:val="font161"/>
    <w:basedOn w:val="3"/>
    <w:qFormat/>
    <w:uiPriority w:val="0"/>
    <w:rPr>
      <w:rFonts w:hint="default" w:ascii="Times New Roman" w:hAnsi="Times New Roman" w:cs="Times New Roman"/>
      <w:color w:val="000000"/>
      <w:sz w:val="24"/>
      <w:szCs w:val="24"/>
      <w:u w:val="none"/>
    </w:rPr>
  </w:style>
  <w:style w:type="character" w:customStyle="1" w:styleId="7">
    <w:name w:val="font141"/>
    <w:basedOn w:val="3"/>
    <w:qFormat/>
    <w:uiPriority w:val="0"/>
    <w:rPr>
      <w:rFonts w:hint="eastAsia" w:ascii="宋体" w:hAnsi="宋体" w:eastAsia="宋体" w:cs="宋体"/>
      <w:color w:val="000000"/>
      <w:sz w:val="24"/>
      <w:szCs w:val="24"/>
      <w:u w:val="none"/>
    </w:rPr>
  </w:style>
  <w:style w:type="character" w:customStyle="1" w:styleId="8">
    <w:name w:val="font51"/>
    <w:basedOn w:val="3"/>
    <w:qFormat/>
    <w:uiPriority w:val="0"/>
    <w:rPr>
      <w:rFonts w:hint="eastAsia" w:ascii="宋体" w:hAnsi="宋体" w:eastAsia="宋体" w:cs="宋体"/>
      <w:color w:val="000000"/>
      <w:sz w:val="24"/>
      <w:szCs w:val="24"/>
      <w:u w:val="none"/>
    </w:rPr>
  </w:style>
  <w:style w:type="character" w:customStyle="1" w:styleId="9">
    <w:name w:val="font21"/>
    <w:basedOn w:val="3"/>
    <w:qFormat/>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2023-07-04T09:36:00Z</dcterms:created>
  <dc:creator>doctor</dc:creator>
  <cp:lastModifiedBy>doctor</cp:lastModifiedBy>
  <dcterms:modified xsi:type="dcterms:W3CDTF">2023-07-17T07:10:00Z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