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1"/>
        </w:numPr>
        <w:jc w:val="center"/>
        <w:outlineLvl w:val="0"/>
        <w:rPr>
          <w:rFonts w:hint="eastAsia" w:ascii="方正小标宋简体" w:eastAsia="方正小标宋简体"/>
        </w:rPr>
      </w:pPr>
      <w:bookmarkStart w:id="0" w:name="_Toc130886519"/>
      <w:bookmarkStart w:id="1" w:name="_Toc112317781"/>
      <w:bookmarkStart w:id="2" w:name="_Toc127547641"/>
      <w:bookmarkStart w:id="3" w:name="_Toc21884"/>
      <w:bookmarkStart w:id="4" w:name="_Toc6937"/>
      <w:bookmarkStart w:id="5" w:name="_Toc27216"/>
      <w:bookmarkStart w:id="6" w:name="_Toc130887373"/>
      <w:bookmarkStart w:id="7" w:name="_Toc128147493"/>
      <w:bookmarkStart w:id="8" w:name="_第六章 采购项目商务和技术要求"/>
      <w:bookmarkStart w:id="9" w:name="_Toc28457"/>
      <w:bookmarkStart w:id="10" w:name="_Toc128149844"/>
      <w:bookmarkStart w:id="11" w:name="_Toc132398709"/>
      <w:bookmarkStart w:id="12" w:name="_Toc128147350"/>
      <w:bookmarkStart w:id="13" w:name="_Toc128397372"/>
      <w:bookmarkStart w:id="14" w:name="_Toc17647"/>
      <w:bookmarkStart w:id="15" w:name="_Toc128149620"/>
      <w:r>
        <w:rPr>
          <w:rFonts w:hint="eastAsia" w:ascii="方正小标宋简体" w:eastAsia="方正小标宋简体"/>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tbl>
      <w:tblPr>
        <w:tblStyle w:val="5"/>
        <w:tblW w:w="10022" w:type="dxa"/>
        <w:tblInd w:w="-19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22"/>
        <w:gridCol w:w="1555"/>
        <w:gridCol w:w="6777"/>
        <w:gridCol w:w="9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序号</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需求名称</w:t>
            </w: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技术参数和需求内容</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40" w:hRule="atLeast"/>
        </w:trPr>
        <w:tc>
          <w:tcPr>
            <w:tcW w:w="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服务要求</w:t>
            </w: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1.现有的MUSE服务器基础上升级并且完成原始数据转移。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2.更新基础接口-基础接口+报告系统，接口包含报告结论、更新医嘱状态等。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3.支持图文报告界面的调用</w:t>
            </w:r>
            <w:r>
              <w:rPr>
                <w:rFonts w:hint="eastAsia" w:ascii="宋体" w:hAnsi="宋体" w:cs="宋体"/>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标准报告编辑器</w:t>
            </w:r>
            <w:r>
              <w:rPr>
                <w:rFonts w:hint="eastAsia" w:ascii="宋体" w:hAnsi="宋体" w:cs="宋体"/>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 xml:space="preserve">配合完成医院门诊心电图的自助打印。                                           4.QTD计算并在报告上体现。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5.科研支持，科研工具包开发。</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6.开放心电波形间期编辑器数据分析。</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7.对现有的设备可以进行原始数据的传输，包含运动平板，心电图机，holter等设备。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8.不更改现有工作流程的工作状态。</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04" w:hRule="atLeast"/>
        </w:trPr>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5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服务方案</w:t>
            </w: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1.心电系统服务器内存和硬盘扩容升级</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升级内存≥32GB和硬盘≥3.6TB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内存：≥32GB，DDR4 内存，单条容量≥16GB DDR4 内存；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硬盘：≥单块1.2TB SAS机械硬盘，实配≥3块硬盘</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45" w:hRule="atLeast"/>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2、心电波形间接编辑器（可自动计算QTd）</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通过MUSE间接编辑器功能，结合EIS基础接口定制开发，解决MUSE自动计算QTd数据，并显示至报告单据上。</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3.基础接口+报告系统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包含一套门诊急诊相关信息系统的工作流整合，和医院系统对接，接收急诊检查预约消息，心电图机做图匹配并返送心电检查报告供急诊医生调阅”。</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包含一套住院相关信息系统工作流整合</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包含一套体检相关信息系统及工作流整合</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接口包含报告结论返回给医院相关信息系统，包含医嘱状态的更新</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支持图文报告界面的调用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基于MUSE系统报告，增加本土化常见需求内容。</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标准报告模板设计器。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提供常规心电打印报告格式的按要求定制：</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基本信息自定义编辑</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心率/PR间期/QRS持续时间/QT/QTc/P-R-T电轴/RVS/SV1等心电信息自定义显示</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自定义文本添加（如"仅供参考"），特殊号码：身份证，健康码</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正常值的范围，异常值标注</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47" w:hRule="atLeast"/>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4、高精度测量</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测量精度达毫秒/微伏级，要求能无限放大心电波形（至少可放大20倍）不失真然后精确到采样点进行测量</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8" w:hRule="atLeast"/>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5、支持心肌缺血语句和分数显示</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54" w:hRule="atLeast"/>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6、序列显示</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能够同屏显示某病人当前、前一份和最早心电图，并且这3份心电图有不少于120种显示格式。</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70" w:hRule="atLeast"/>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7、波形显示格式</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支持全CGR（计算机图形记录），叠加中值，多种可选节律通道组合，节律和形态，12节律，中值等多种显示格式，并且可设定默认显示及支持个性化修改</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58" w:hRule="atLeast"/>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8、采集数据质量控制</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心电采集质量参数9种（患者配合：良好一般糟糕；检查质量：良好一般糟糕；导联质量：绿黄红）</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5" w:hRule="atLeast"/>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9、服务器端采集心电图</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机器旁不用配置PC机，完成心电图采集</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13" w:hRule="atLeast"/>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10、心电采集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心电导联连接质量提示（支持在采集端用绿色显示正确导联心电图，用黄色显示导联数据质量较差心电图，用红色显示导联异常心电图，诊断界面可同步查看心电导联连接情况）</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46" w:hRule="atLeast"/>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11、12导联参数矩阵</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至少能提供每一导联P，P‘，Q，Q'，R，R'，S，T，T'波的时间和幅值参数和提供ST段J点和终点及中值的位置的参数，作为科学研究的基本参数</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9" w:hRule="atLeast"/>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12、测量值及诊断语句存储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支持测量矩阵数据测量功能，任意选中一例心电图检查，系统除了能自动测量出心室率、心房率、PR、QRS、QT、QTc以及PRT轴等数据以外，还可以测量出每个导联的测量矩阵值，每个导联不少于50个测量矩阵值。（提供软件界面截图、心电测量矩阵详细测量点说明以及计算机心电分析准确性白皮书）</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6" w:hRule="atLeast"/>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13、质量参数检索</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支持5种以上采集质量参数的检索</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3" w:hRule="atLeast"/>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14、论文支持</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为医院发表相关论文提供数据支持</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70" w:hRule="atLeast"/>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15、多导心电图报告功能                                     支持多导联心电图的医嘱匹配和打印（15导以上）</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多导心电图医嘱拆分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两次常规心电图报告合并，基于PDF，不具备波形重新分析能力</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03" w:hRule="atLeast"/>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numPr>
                <w:ilvl w:val="0"/>
                <w:numId w:val="2"/>
              </w:numPr>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 xml:space="preserve">电生理报告统一管理功能                             </w:t>
            </w:r>
          </w:p>
          <w:p>
            <w:pPr>
              <w:keepNext w:val="0"/>
              <w:keepLines w:val="0"/>
              <w:widowControl/>
              <w:numPr>
                <w:ilvl w:val="0"/>
                <w:numId w:val="0"/>
              </w:numPr>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集成电生理软件导出的PDF原始文件，平台方将诊断报告进行统一管理以及针对同一患者多样化修改报告结果样式。</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90" w:hRule="atLeast"/>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17、科研工具包 XML数据导出工具及数据治理辅助                                            针对性开发科研软件工具包，可根据临床科研医生需求，从CASE中提取XML格式批量提取XML数据，持续为医院临床医生的科研需求提供数据支持。</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39" w:hRule="atLeast"/>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18、科研工具包-患者ID检索工具                          针对性开发患者ID检索工具包，可根据临床科研医生需求，从系统中批量提取指定患者ID数据，持续为医院临床医生的科研需求提供数据支持。 </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7" w:hRule="atLeast"/>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19、自助打印</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与院方自助打印系统做对接，完成自助打印功能。</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7" w:hRule="atLeast"/>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20、历史数据无缝兼容</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可将原心电管理系统数据库字段无缝兼容到新的服务器数据库</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24"/>
                <w:szCs w:val="24"/>
                <w:u w:val="none"/>
                <w:lang w:val="en-US" w:eastAsia="zh-CN" w:bidi="ar-SA"/>
              </w:rPr>
            </w:pPr>
            <w:r>
              <w:rPr>
                <w:rFonts w:hint="eastAsia" w:ascii="宋体" w:hAnsi="宋体" w:cs="宋体"/>
                <w:i w:val="0"/>
                <w:color w:val="000000"/>
                <w:kern w:val="2"/>
                <w:sz w:val="24"/>
                <w:szCs w:val="24"/>
                <w:u w:val="none"/>
                <w:lang w:val="en-US" w:eastAsia="zh-CN" w:bidi="ar-SA"/>
              </w:rPr>
              <w:t>3</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数据要求</w:t>
            </w: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b/>
                <w:bCs/>
                <w:i w:val="0"/>
                <w:color w:val="000000"/>
                <w:kern w:val="0"/>
                <w:sz w:val="24"/>
                <w:szCs w:val="24"/>
                <w:u w:val="none"/>
                <w:lang w:val="en-US" w:eastAsia="zh-CN" w:bidi="ar"/>
              </w:rPr>
              <w:t>*</w:t>
            </w:r>
            <w:r>
              <w:rPr>
                <w:rFonts w:hint="eastAsia" w:ascii="宋体" w:hAnsi="宋体" w:cs="宋体"/>
                <w:b/>
                <w:bCs/>
                <w:i w:val="0"/>
                <w:color w:val="000000"/>
                <w:kern w:val="0"/>
                <w:sz w:val="24"/>
                <w:szCs w:val="24"/>
                <w:u w:val="none"/>
                <w:lang w:val="en-US" w:eastAsia="zh-CN" w:bidi="ar"/>
              </w:rPr>
              <w:t>3</w:t>
            </w:r>
            <w:r>
              <w:rPr>
                <w:rFonts w:hint="eastAsia" w:ascii="宋体" w:hAnsi="宋体" w:eastAsia="宋体" w:cs="宋体"/>
                <w:b/>
                <w:bCs/>
                <w:i w:val="0"/>
                <w:color w:val="000000"/>
                <w:kern w:val="0"/>
                <w:sz w:val="24"/>
                <w:szCs w:val="24"/>
                <w:u w:val="none"/>
                <w:lang w:val="en-US" w:eastAsia="zh-CN" w:bidi="ar"/>
              </w:rPr>
              <w:t>.1 要求数据库管理员用户密码交付信息科；</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cs="宋体"/>
                <w:b/>
                <w:bCs/>
                <w:i w:val="0"/>
                <w:color w:val="000000"/>
                <w:kern w:val="0"/>
                <w:sz w:val="24"/>
                <w:szCs w:val="24"/>
                <w:u w:val="none"/>
                <w:lang w:val="en-US" w:eastAsia="zh-CN" w:bidi="ar"/>
              </w:rPr>
              <w:t>3</w:t>
            </w:r>
            <w:r>
              <w:rPr>
                <w:rFonts w:hint="eastAsia" w:ascii="宋体" w:hAnsi="宋体" w:eastAsia="宋体" w:cs="宋体"/>
                <w:b/>
                <w:bCs/>
                <w:i w:val="0"/>
                <w:color w:val="000000"/>
                <w:kern w:val="0"/>
                <w:sz w:val="24"/>
                <w:szCs w:val="24"/>
                <w:u w:val="none"/>
                <w:lang w:val="en-US" w:eastAsia="zh-CN" w:bidi="ar"/>
              </w:rPr>
              <w:t>.2 所有数据库需根据院方要求配合院方纳入容灾平台、离线备份平台、数据库监控平台、数据资源平台；</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cs="宋体"/>
                <w:b/>
                <w:bCs/>
                <w:i w:val="0"/>
                <w:color w:val="000000"/>
                <w:kern w:val="0"/>
                <w:sz w:val="24"/>
                <w:szCs w:val="24"/>
                <w:u w:val="none"/>
                <w:lang w:val="en-US" w:eastAsia="zh-CN" w:bidi="ar"/>
              </w:rPr>
              <w:t>3</w:t>
            </w:r>
            <w:r>
              <w:rPr>
                <w:rFonts w:hint="eastAsia" w:ascii="宋体" w:hAnsi="宋体" w:eastAsia="宋体" w:cs="宋体"/>
                <w:b/>
                <w:bCs/>
                <w:i w:val="0"/>
                <w:color w:val="000000"/>
                <w:kern w:val="0"/>
                <w:sz w:val="24"/>
                <w:szCs w:val="24"/>
                <w:u w:val="none"/>
                <w:lang w:val="en-US" w:eastAsia="zh-CN" w:bidi="ar"/>
              </w:rPr>
              <w:t>.3 需提供数据备份机制、数据重建机制；</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cs="宋体"/>
                <w:b/>
                <w:bCs/>
                <w:i w:val="0"/>
                <w:color w:val="000000"/>
                <w:kern w:val="0"/>
                <w:sz w:val="24"/>
                <w:szCs w:val="24"/>
                <w:u w:val="none"/>
                <w:lang w:val="en-US" w:eastAsia="zh-CN" w:bidi="ar"/>
              </w:rPr>
              <w:t>3</w:t>
            </w:r>
            <w:r>
              <w:rPr>
                <w:rFonts w:hint="eastAsia" w:ascii="宋体" w:hAnsi="宋体" w:eastAsia="宋体" w:cs="宋体"/>
                <w:b/>
                <w:bCs/>
                <w:i w:val="0"/>
                <w:color w:val="000000"/>
                <w:kern w:val="0"/>
                <w:sz w:val="24"/>
                <w:szCs w:val="24"/>
                <w:u w:val="none"/>
                <w:lang w:val="en-US" w:eastAsia="zh-CN" w:bidi="ar"/>
              </w:rPr>
              <w:t>.4 所有存有院方数据的存储介质不予返还；</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cs="宋体"/>
                <w:b/>
                <w:bCs/>
                <w:i w:val="0"/>
                <w:color w:val="000000"/>
                <w:kern w:val="0"/>
                <w:sz w:val="24"/>
                <w:szCs w:val="24"/>
                <w:u w:val="none"/>
                <w:lang w:val="en-US" w:eastAsia="zh-CN" w:bidi="ar"/>
              </w:rPr>
              <w:t>3</w:t>
            </w:r>
            <w:r>
              <w:rPr>
                <w:rFonts w:hint="eastAsia" w:ascii="宋体" w:hAnsi="宋体" w:eastAsia="宋体" w:cs="宋体"/>
                <w:b/>
                <w:bCs/>
                <w:i w:val="0"/>
                <w:color w:val="000000"/>
                <w:kern w:val="0"/>
                <w:sz w:val="24"/>
                <w:szCs w:val="24"/>
                <w:u w:val="none"/>
                <w:lang w:val="en-US" w:eastAsia="zh-CN" w:bidi="ar"/>
              </w:rPr>
              <w:t>.5 数据库运维人员需在信息科报备，签署相关保密协议，并纳入信息科数管统一管理；</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kern w:val="2"/>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7" w:hRule="atLeast"/>
        </w:trPr>
        <w:tc>
          <w:tcPr>
            <w:tcW w:w="1002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b/>
                <w:bCs/>
                <w:i w:val="0"/>
                <w:color w:val="000000"/>
                <w:sz w:val="24"/>
                <w:szCs w:val="24"/>
                <w:u w:val="none"/>
              </w:rPr>
              <w:t>商务</w:t>
            </w:r>
            <w:r>
              <w:rPr>
                <w:rFonts w:hint="eastAsia" w:ascii="宋体" w:hAnsi="宋体" w:eastAsia="宋体" w:cs="宋体"/>
                <w:b/>
                <w:bCs/>
                <w:i w:val="0"/>
                <w:color w:val="000000"/>
                <w:sz w:val="24"/>
                <w:szCs w:val="24"/>
                <w:u w:val="none"/>
                <w:lang w:eastAsia="zh-CN"/>
              </w:rPr>
              <w:t>条款</w:t>
            </w:r>
            <w:r>
              <w:rPr>
                <w:rFonts w:hint="eastAsia" w:ascii="宋体" w:hAnsi="宋体" w:eastAsia="宋体" w:cs="宋体"/>
                <w:b/>
                <w:bCs/>
                <w:i w:val="0"/>
                <w:color w:val="000000"/>
                <w:sz w:val="24"/>
                <w:szCs w:val="24"/>
                <w:u w:val="none"/>
              </w:rPr>
              <w:t>(均为实质性响应条款</w:t>
            </w:r>
            <w:r>
              <w:rPr>
                <w:rFonts w:hint="eastAsia" w:ascii="宋体" w:hAnsi="宋体" w:eastAsia="宋体" w:cs="宋体"/>
                <w:b/>
                <w:bCs/>
                <w:i w:val="0"/>
                <w:color w:val="000000"/>
                <w:sz w:val="24"/>
                <w:szCs w:val="24"/>
                <w:u w:val="none"/>
                <w:lang w:eastAsia="zh-CN"/>
              </w:rPr>
              <w:t>，不接受负偏离</w:t>
            </w:r>
            <w:r>
              <w:rPr>
                <w:rFonts w:hint="eastAsia" w:ascii="宋体" w:hAnsi="宋体" w:eastAsia="宋体" w:cs="宋体"/>
                <w:b/>
                <w:bCs/>
                <w:i w:val="0"/>
                <w:color w:val="000000"/>
                <w:sz w:val="24"/>
                <w:szCs w:val="24"/>
                <w:u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bidi="ar"/>
              </w:rPr>
              <w:t>4</w:t>
            </w:r>
          </w:p>
        </w:tc>
        <w:tc>
          <w:tcPr>
            <w:tcW w:w="15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质量控制</w:t>
            </w:r>
          </w:p>
        </w:tc>
        <w:tc>
          <w:tcPr>
            <w:tcW w:w="677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对系统bug应在2小时内予以答复，24小时内修改完毕；</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对于产品适应性修改问题，应于4小时内给予回复，48小时内修改完毕；定期回访</w:t>
            </w:r>
          </w:p>
        </w:tc>
        <w:tc>
          <w:tcPr>
            <w:tcW w:w="9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7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9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6" w:hRule="atLeast"/>
        </w:trPr>
        <w:tc>
          <w:tcPr>
            <w:tcW w:w="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bidi="ar"/>
              </w:rPr>
              <w:t>5</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验收考核办法</w:t>
            </w:r>
          </w:p>
        </w:tc>
        <w:tc>
          <w:tcPr>
            <w:tcW w:w="677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网络升级后通过全流程运行，运行检测时间不少于2个月。</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90" w:hRule="atLeast"/>
        </w:trPr>
        <w:tc>
          <w:tcPr>
            <w:tcW w:w="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bidi="ar"/>
              </w:rPr>
              <w:t>6</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售后服务</w:t>
            </w: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5.1 软、硬件质保期≥3年，质保期从验收合格日期起算。质保期内系统软、硬件均免费升级维护。</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5.2 按照保密要求，数据不能出院区，质保期内如发生硬盘等存储介质故障，厂家免费换新，医院不退还旧硬盘。</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5.3 预防性维修（或定期维护保养），按维修要求，质保期内提供每年≥4次的免费巡检服务。                                5.4 服务期内出现紧急故障情况，公司响应时间≤30分钟，到达现场时间（必要时）≤2小时，解决问题时间≤4个小时。</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5.5 系统实施部署期间驻地工程师≥1人。</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5.6 厂家提供免费上门培训。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5.7 文档资料：软件使用说明书，软件数据结构文档、服务器管理权限等。</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trPr>
        <w:tc>
          <w:tcPr>
            <w:tcW w:w="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交付时间</w:t>
            </w: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合同签订后3个月内设备到货并完成本地化部署版本安装，6个月内完成整体项目交付并实现系统稳定运行。</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1" w:hRule="atLeast"/>
        </w:trPr>
        <w:tc>
          <w:tcPr>
            <w:tcW w:w="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交付地点</w:t>
            </w: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北京市海淀区</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5" w:hRule="atLeast"/>
        </w:trPr>
        <w:tc>
          <w:tcPr>
            <w:tcW w:w="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c>
          <w:tcPr>
            <w:tcW w:w="1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付款条件</w:t>
            </w:r>
          </w:p>
        </w:tc>
        <w:tc>
          <w:tcPr>
            <w:tcW w:w="6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系统稳定运行且验收合格后支付95%，验收合格满一年后付款5%。</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22" w:hRule="atLeast"/>
        </w:trPr>
        <w:tc>
          <w:tcPr>
            <w:tcW w:w="1002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320" w:lineRule="exact"/>
              <w:jc w:val="left"/>
              <w:textAlignment w:val="center"/>
              <w:rPr>
                <w:rFonts w:hint="eastAsia"/>
                <w:sz w:val="21"/>
                <w:szCs w:val="21"/>
                <w:lang w:val="en-US" w:eastAsia="zh-CN"/>
              </w:rPr>
            </w:pPr>
            <w:r>
              <w:rPr>
                <w:rFonts w:hint="eastAsia"/>
                <w:sz w:val="21"/>
                <w:szCs w:val="21"/>
                <w:lang w:val="en-US" w:eastAsia="zh-CN"/>
              </w:rPr>
              <w:t>备注：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firstLine="422" w:firstLineChars="200"/>
              <w:jc w:val="left"/>
              <w:textAlignment w:val="center"/>
              <w:rPr>
                <w:rFonts w:hint="eastAsia" w:ascii="宋体" w:hAnsi="宋体" w:eastAsia="宋体" w:cs="宋体"/>
                <w:b/>
                <w:bCs/>
                <w:sz w:val="21"/>
                <w:szCs w:val="21"/>
                <w:lang w:val="en-US" w:eastAsia="zh-CN"/>
              </w:rPr>
            </w:pPr>
            <w:r>
              <w:rPr>
                <w:rFonts w:hint="eastAsia" w:ascii="宋体" w:hAnsi="宋体" w:cs="宋体"/>
                <w:b/>
                <w:bCs/>
                <w:sz w:val="21"/>
                <w:szCs w:val="21"/>
                <w:lang w:val="en-US" w:eastAsia="zh-CN"/>
              </w:rPr>
              <w:t>1.本项目所有技术参数均需响应，不允许负偏离，≥1项未达到招标文件要求，即做废标处理。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firstLine="422" w:firstLineChars="200"/>
              <w:jc w:val="left"/>
              <w:textAlignment w:val="center"/>
              <w:rPr>
                <w:rFonts w:hint="eastAsia" w:ascii="宋体" w:hAnsi="宋体" w:eastAsia="宋体" w:cs="宋体"/>
                <w:b/>
                <w:bCs/>
                <w:sz w:val="21"/>
                <w:szCs w:val="21"/>
                <w:lang w:val="en-US" w:eastAsia="zh-CN"/>
              </w:rPr>
            </w:pPr>
            <w:r>
              <w:rPr>
                <w:rFonts w:hint="eastAsia" w:ascii="宋体" w:hAnsi="宋体" w:cs="宋体"/>
                <w:b/>
                <w:bCs/>
                <w:sz w:val="21"/>
                <w:szCs w:val="21"/>
                <w:lang w:val="en-US" w:eastAsia="zh-CN"/>
              </w:rPr>
              <w:t>2.</w:t>
            </w:r>
            <w:r>
              <w:rPr>
                <w:rFonts w:hint="eastAsia" w:ascii="宋体" w:hAnsi="宋体" w:eastAsia="宋体" w:cs="宋体"/>
                <w:b/>
                <w:bCs/>
                <w:sz w:val="21"/>
                <w:szCs w:val="21"/>
                <w:lang w:val="en-US" w:eastAsia="zh-CN"/>
              </w:rPr>
              <w:t>加注“*”号的技术指标均需投标企业提供证明材料。</w:t>
            </w:r>
          </w:p>
          <w:p>
            <w:pPr>
              <w:ind w:firstLine="422" w:firstLineChars="200"/>
              <w:jc w:val="left"/>
              <w:rPr>
                <w:rFonts w:hint="eastAsia" w:ascii="宋体" w:hAnsi="宋体" w:eastAsia="宋体" w:cs="宋体"/>
                <w:i w:val="0"/>
                <w:color w:val="000000"/>
                <w:sz w:val="24"/>
                <w:szCs w:val="24"/>
                <w:u w:val="none"/>
              </w:rPr>
            </w:pPr>
            <w:r>
              <w:rPr>
                <w:rFonts w:hint="eastAsia" w:asciiTheme="minorEastAsia" w:hAnsiTheme="minorEastAsia" w:eastAsiaTheme="minorEastAsia" w:cstheme="minorEastAsia"/>
                <w:b/>
                <w:bCs/>
                <w:color w:val="auto"/>
                <w:kern w:val="2"/>
                <w:sz w:val="21"/>
                <w:szCs w:val="21"/>
                <w:highlight w:val="none"/>
                <w:lang w:eastAsia="zh-CN"/>
              </w:rPr>
              <w:t>供应商须提供相关技术指标证明材料予以佐证（证明材料不限于资质证书、业绩案例、响应承诺，以及产品规格表、制造商官方网站发布的产品信息、说明书等或检测机构出具的检测报告等技术资料支持的产品彩页、技术白皮书、厂家出具的技术证明文件、实物照片、软件功能截图等）。</w:t>
            </w:r>
          </w:p>
        </w:tc>
      </w:tr>
    </w:tbl>
    <w:p>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DC539A"/>
    <w:multiLevelType w:val="singleLevel"/>
    <w:tmpl w:val="ECDC539A"/>
    <w:lvl w:ilvl="0" w:tentative="0">
      <w:start w:val="16"/>
      <w:numFmt w:val="decimal"/>
      <w:suff w:val="nothing"/>
      <w:lvlText w:val="%1、"/>
      <w:lvlJc w:val="left"/>
    </w:lvl>
  </w:abstractNum>
  <w:abstractNum w:abstractNumId="1">
    <w:nsid w:val="6E7C802E"/>
    <w:multiLevelType w:val="singleLevel"/>
    <w:tmpl w:val="6E7C802E"/>
    <w:lvl w:ilvl="0" w:tentative="0">
      <w:start w:val="6"/>
      <w:numFmt w:val="chineseCounting"/>
      <w:suff w:val="space"/>
      <w:lvlText w:val="第%1章"/>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5C14C8"/>
    <w:rsid w:val="575C1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jc w:val="center"/>
      <w:outlineLvl w:val="0"/>
    </w:pPr>
    <w:rPr>
      <w:bCs/>
      <w:sz w:val="44"/>
      <w:szCs w:val="20"/>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字符"/>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2023-08-23T06:40:00Z</dcterms:created>
  <dc:creator>why</dc:creator>
  <cp:lastModifiedBy>why</cp:lastModifiedBy>
  <dcterms:modified xsi:type="dcterms:W3CDTF">2023-08-23T06:40:53Z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