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方正小标宋简体" w:eastAsia="方正小标宋简体"/>
          <w:color w:val="auto"/>
          <w:sz w:val="44"/>
          <w:szCs w:val="44"/>
          <w:highlight w:val="none"/>
          <w:lang w:val="zh-CN"/>
        </w:rPr>
      </w:pPr>
      <w:r>
        <w:rPr>
          <w:rFonts w:hint="eastAsia" w:ascii="方正小标宋简体" w:eastAsia="方正小标宋简体"/>
          <w:color w:val="auto"/>
          <w:sz w:val="44"/>
          <w:szCs w:val="44"/>
          <w:highlight w:val="none"/>
          <w:lang w:val="zh-CN"/>
        </w:rPr>
        <w:t>采购项目商务和技术要求</w:t>
      </w:r>
    </w:p>
    <w:tbl>
      <w:tblPr>
        <w:tblStyle w:val="5"/>
        <w:tblW w:w="9346" w:type="dxa"/>
        <w:tblInd w:w="-458" w:type="dxa"/>
        <w:shd w:val="clear" w:color="auto" w:fill="auto"/>
        <w:tblLayout w:type="autofit"/>
        <w:tblCellMar>
          <w:top w:w="0" w:type="dxa"/>
          <w:left w:w="0" w:type="dxa"/>
          <w:bottom w:w="0" w:type="dxa"/>
          <w:right w:w="0" w:type="dxa"/>
        </w:tblCellMar>
      </w:tblPr>
      <w:tblGrid>
        <w:gridCol w:w="590"/>
        <w:gridCol w:w="1020"/>
        <w:gridCol w:w="6366"/>
        <w:gridCol w:w="1370"/>
      </w:tblGrid>
      <w:tr>
        <w:tblPrEx>
          <w:shd w:val="clear" w:color="auto" w:fill="auto"/>
          <w:tblCellMar>
            <w:top w:w="0" w:type="dxa"/>
            <w:left w:w="0" w:type="dxa"/>
            <w:bottom w:w="0" w:type="dxa"/>
            <w:right w:w="0" w:type="dxa"/>
          </w:tblCellMar>
        </w:tblPrEx>
        <w:trPr>
          <w:trHeight w:val="480" w:hRule="atLeast"/>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序号</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需求名称</w:t>
            </w:r>
          </w:p>
        </w:tc>
        <w:tc>
          <w:tcPr>
            <w:tcW w:w="63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技术参数和需求内容</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备注</w:t>
            </w:r>
          </w:p>
        </w:tc>
      </w:tr>
      <w:tr>
        <w:tblPrEx>
          <w:tblCellMar>
            <w:top w:w="0" w:type="dxa"/>
            <w:left w:w="0" w:type="dxa"/>
            <w:bottom w:w="0" w:type="dxa"/>
            <w:right w:w="0" w:type="dxa"/>
          </w:tblCellMar>
        </w:tblPrEx>
        <w:trPr>
          <w:trHeight w:val="655" w:hRule="atLeast"/>
        </w:trPr>
        <w:tc>
          <w:tcPr>
            <w:tcW w:w="59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eastAsia="zh-CN"/>
              </w:rPr>
            </w:pPr>
            <w:r>
              <w:rPr>
                <w:rFonts w:hint="eastAsia" w:ascii="宋体" w:hAnsi="宋体" w:eastAsia="宋体" w:cs="宋体"/>
                <w:b/>
                <w:bCs/>
                <w:i w:val="0"/>
                <w:color w:val="000000"/>
                <w:sz w:val="22"/>
                <w:szCs w:val="22"/>
                <w:u w:val="none"/>
                <w:lang w:eastAsia="zh-CN"/>
              </w:rPr>
              <w:t>此项为实质性响应，不允许负偏离</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1、软、硬件均为国产品牌。</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041" w:hRule="atLeast"/>
        </w:trPr>
        <w:tc>
          <w:tcPr>
            <w:tcW w:w="5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2、软件系统需要根据甲方的要求（包括但不限于与医院LIS等系统对接）进行变更响应，以适应全流程化的需求。</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须提供书面承诺加盖投标人公章</w:t>
            </w:r>
          </w:p>
        </w:tc>
      </w:tr>
      <w:tr>
        <w:tblPrEx>
          <w:tblCellMar>
            <w:top w:w="0" w:type="dxa"/>
            <w:left w:w="0" w:type="dxa"/>
            <w:bottom w:w="0" w:type="dxa"/>
            <w:right w:w="0" w:type="dxa"/>
          </w:tblCellMar>
        </w:tblPrEx>
        <w:trPr>
          <w:trHeight w:val="782" w:hRule="atLeast"/>
        </w:trPr>
        <w:tc>
          <w:tcPr>
            <w:tcW w:w="5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3、采血岛全自动摆管系统（6窗口流水线，2套）。</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519" w:hRule="atLeast"/>
        </w:trPr>
        <w:tc>
          <w:tcPr>
            <w:tcW w:w="5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配置要求</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采血岛全自动摆管系统是通过检验采血窗口智能采血系统的搭建，实现采血签到叫号智能化、采血选管贴标自动化、标本回收运输自动化，即实现全自动智能采血管理流程。软件系统及硬件设备，具体配置如下：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1、报到机4台；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2、集中叫号显示屏4台；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3、窗口操作配置12套；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4、主控电脑（PC电脑）2台；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5、全自动采血管贴标仪（6窗口流水线）2套；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6、多功能轨道采血桌12套；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7、标本回收箱2套。</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1228" w:hRule="atLeast"/>
        </w:trPr>
        <w:tc>
          <w:tcPr>
            <w:tcW w:w="5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产品资格</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1、摆管机具备商标注册证，CE认证证书。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2、提供软件著作权证书。</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2"/>
                <w:szCs w:val="22"/>
                <w:u w:val="none"/>
              </w:rPr>
            </w:pPr>
            <w:r>
              <w:rPr>
                <w:rFonts w:hint="eastAsia" w:ascii="宋体" w:hAnsi="宋体" w:eastAsia="宋体" w:cs="宋体"/>
                <w:b/>
                <w:bCs/>
                <w:i w:val="0"/>
                <w:color w:val="000000"/>
                <w:kern w:val="0"/>
                <w:sz w:val="20"/>
                <w:szCs w:val="20"/>
                <w:u w:val="none"/>
                <w:lang w:val="en-US" w:eastAsia="zh-CN" w:bidi="ar"/>
              </w:rPr>
              <w:t>（须提供证书复印件加盖投标人公章）</w:t>
            </w:r>
          </w:p>
        </w:tc>
      </w:tr>
      <w:tr>
        <w:tblPrEx>
          <w:tblCellMar>
            <w:top w:w="0" w:type="dxa"/>
            <w:left w:w="0" w:type="dxa"/>
            <w:bottom w:w="0" w:type="dxa"/>
            <w:right w:w="0" w:type="dxa"/>
          </w:tblCellMar>
        </w:tblPrEx>
        <w:trPr>
          <w:trHeight w:val="883" w:hRule="atLeast"/>
        </w:trPr>
        <w:tc>
          <w:tcPr>
            <w:tcW w:w="590" w:type="dxa"/>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企业资格</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符合《中华人民共和国政府采购法》第二十二条资格条件。</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1138" w:hRule="atLeast"/>
        </w:trPr>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技术力量</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4"/>
              <w:rPr>
                <w:rFonts w:hint="eastAsia"/>
                <w:lang w:eastAsia="zh-CN"/>
              </w:rPr>
            </w:pPr>
            <w:r>
              <w:rPr>
                <w:rFonts w:hint="eastAsia"/>
                <w:lang w:val="en-US" w:eastAsia="zh-CN"/>
              </w:rPr>
              <w:t>1、</w:t>
            </w:r>
            <w:r>
              <w:rPr>
                <w:rFonts w:hint="eastAsia"/>
                <w:lang w:eastAsia="zh-CN"/>
              </w:rPr>
              <w:t>投标人具有自己的软件团队</w:t>
            </w:r>
            <w:r>
              <w:rPr>
                <w:rFonts w:hint="eastAsia"/>
                <w:lang w:val="en-US" w:eastAsia="zh-CN"/>
              </w:rPr>
              <w:t>（≥5人）或软件公司，对软件的开发，定制能提供系统的整体解决方案。</w:t>
            </w:r>
          </w:p>
        </w:tc>
        <w:tc>
          <w:tcPr>
            <w:tcW w:w="137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1277" w:hRule="atLeast"/>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4"/>
              <w:rPr>
                <w:rFonts w:hint="eastAsia"/>
                <w:lang w:eastAsia="zh-CN"/>
              </w:rPr>
            </w:pPr>
            <w:r>
              <w:rPr>
                <w:rFonts w:hint="eastAsia"/>
                <w:lang w:val="en-US" w:eastAsia="zh-CN"/>
              </w:rPr>
              <w:t>2、</w:t>
            </w:r>
            <w:r>
              <w:rPr>
                <w:rFonts w:hint="eastAsia"/>
                <w:lang w:eastAsia="zh-CN"/>
              </w:rPr>
              <w:t>投标人具有自己的硬件运维售后团队</w:t>
            </w:r>
            <w:r>
              <w:rPr>
                <w:rFonts w:hint="eastAsia"/>
                <w:lang w:val="en-US" w:eastAsia="zh-CN"/>
              </w:rPr>
              <w:t>硬件运维售后团队（≥5人），经验丰富</w:t>
            </w:r>
            <w:r>
              <w:rPr>
                <w:rFonts w:hint="eastAsia"/>
                <w:lang w:eastAsia="zh-CN"/>
              </w:rPr>
              <w:t>（</w:t>
            </w:r>
            <w:r>
              <w:rPr>
                <w:rFonts w:hint="eastAsia"/>
                <w:lang w:val="zh-CN" w:eastAsia="zh-CN"/>
              </w:rPr>
              <w:t>经验丰富界定为具有</w:t>
            </w:r>
            <w:r>
              <w:rPr>
                <w:rFonts w:hint="eastAsia"/>
                <w:lang w:val="en-US" w:eastAsia="zh-CN"/>
              </w:rPr>
              <w:t>3年（含）以上相关工作经历</w:t>
            </w:r>
            <w:r>
              <w:rPr>
                <w:rFonts w:hint="eastAsia"/>
                <w:lang w:eastAsia="zh-CN"/>
              </w:rPr>
              <w:t>）</w:t>
            </w:r>
            <w:r>
              <w:rPr>
                <w:rFonts w:hint="eastAsia"/>
                <w:lang w:val="en-US" w:eastAsia="zh-CN"/>
              </w:rPr>
              <w:t>，不少于1人有高级工程师证书；</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439" w:hRule="atLeast"/>
        </w:trPr>
        <w:tc>
          <w:tcPr>
            <w:tcW w:w="59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性能指标</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1、相关硬件：</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4039"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一、报到机：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1.主控模块集成CPU双核工控主板，内存≥4G，固态硬盘≥120G；</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·2.显示设备：32寸电容触摸一体屏，多点触控，分辨率≥1920*1080@60Hz；</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·3.设备尺寸：≥ 540mm（长）×560mm（宽）×1750mm（高）；</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4.扫码模块：解码能力:解读标准一维、二维条码，支持介质类型:支持读取纸质、LCD、手机屏幕等各种介质上的条码信息；读取角度:二维条码360度任意方向读取条码；</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5.凭条打印机：热敏打印，内容可根据医院需求定制；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6.预约方式：按照医院使用的登记介质(如条形码、就诊卡、医保卡、身份证、银行卡等)进行定制，并将条码扫描器、读卡器和键盘等集成在登记机内部，不外露；</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7.机柜主体：全钢机柜，防水、防尘、防锈、防腐、耐磨。</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2561"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二、集中叫号显示屏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1）屏幕尺寸≥60英寸，屏幕宽高比16:9；</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2）亮度(cd/m²)≥250，对比度(典型)≥1200：1；</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3）视角(H/V)178/178，分辨率≥1920×1080；</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4）显示色彩≥16.7M， 响应时间(ms)≤8；</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5）屏幕显示语言英/中；</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6）AV输入、HDMI输入，USB2.0输入；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7）电源范围：交流110V－240V(50/60Hz)，功率消耗(额定)≤150W；</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3662"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三.窗口配置（含操作电脑、回执打印机、标签打印机、扫描枪、窗口显示屏）：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1、平板电脑：CPU:双核四线程以上，主频≥2.1GHz，缓存≥3MB,内存≥4G，硬盘≥128G， 屏幕尺寸≥18.5英寸，接口：VGA、HDMI；</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2、回执打印机：打印方式：行式热敏，分 辨 率：≥203dpi，纸张尺寸：80mm，连接接口：USB；</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3、标签打印机：打印方式：热敏/热转印式，分 辨 率：≥203dpi，打印宽度：56毫米，接口：USB；</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4、扫描枪：识读码制：识读一维条码，堆叠，二维条码，邮政码，OCR码，接口类型：USB；</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5、窗口显示屏：尺寸≥47寸，分辨率≥1366*768，内存≥1G，接口方式：HDMI、TV、USB，RJ45；</w:t>
            </w:r>
          </w:p>
        </w:tc>
        <w:tc>
          <w:tcPr>
            <w:tcW w:w="13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 xml:space="preserve">   </w:t>
            </w:r>
          </w:p>
        </w:tc>
      </w:tr>
      <w:tr>
        <w:tblPrEx>
          <w:tblCellMar>
            <w:top w:w="0" w:type="dxa"/>
            <w:left w:w="0" w:type="dxa"/>
            <w:bottom w:w="0" w:type="dxa"/>
            <w:right w:w="0" w:type="dxa"/>
          </w:tblCellMar>
        </w:tblPrEx>
        <w:trPr>
          <w:trHeight w:val="1812"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四、主控电脑（PC）：</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1、显示器：液晶屏≥27英寸，分辨率≥1920*1080；</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2、处理器:四核八线程以上，主频≥2.4GHz，缓存≥6MB；</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3、内存≥8G，固态硬盘≥512G；</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4、包含千兆网卡，usb接口*4，HDMl接口等。</w:t>
            </w:r>
          </w:p>
        </w:tc>
        <w:tc>
          <w:tcPr>
            <w:tcW w:w="13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4485"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pStyle w:val="4"/>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五、自动选管贴标模块：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1.1主机模块式设计：主机单元至少双模块式设计，每个模块含独立的自动打印粘贴单元，某个主机模块出故障，其他模块正常运行，系统仍可不停机正常工作，主机模块打印粘贴单元故障，该模块的选管模块正常工作，所选空试管可自动传输到其他模块完成打印粘贴工作，具备拓展功能，可升级至≥4模块组合，</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*1.2主机模块装载种类：主机模块采血管种类≥8种；后期可升级至≥24种；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·1.3主机模块处理速度:单套系统处理能力 ≥2400管/小时, 后期可升级最大速度≥3000管/小时。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1.4其他功能模块扩展功能 可扩展住院部自动化模块，与流水线主机共用主机，一体化设计，实现检验前全院标本自动化标准化采集准备；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1.5取管方式 上推预置式取管，可将采血管预置，信息传递至主机后，第一时间打印粘贴，速度更快，且支持所有品牌厂家采血管。非机械手选管，减少卡管故障，避免整盘放入方式下对采血管耗材开放兼容的限制；</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1.6连续装载 需具备中途不停机连续装载采血管功能；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*1.7内置打印标签模块 内置式热敏打印模块，机内双打印模块均可装载≥3000张/卷的纸；</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1.8支持采血管规格 直径：12～18mm，长度：75～110mm，橡胶盖、塑胶盖；铝箔、无盖、符合要求的尿管都可以；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1.9采血管识别 自动识别，无需人为指定；</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1.10打印条码类型 code128、code39、JAN、2of5、NW-7，支持文字类型：英文、数字、汉字、标点符号等；</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1.11打印格式 标签打印格式可随意设定，支持0/90/180/270度旋转、线、面、框、黑白反转、网格打印、连续打印、文字补正、外字登陆；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*1.12标签纸装载 支持标签纸一键自动装载，自动导引，无需手动操作，无需人工打开打印头，无需人工穿纸卷纸安装；（在评审现场提供操作视频，视频中，须演示人员装纸等操作）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1.13覆盖粘贴功能 可检测原试管预置标贴位置并覆盖粘贴，保证血窗可视；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*1.14试管识别多重核对功能 支持采血管选取后，可通过头盖颜色、试管长度、试管管径、利用CCD核对摄像头进行全方位二次核对；</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1.15余量探测：采血管余量探测，用完设备报警，并提供视觉状态提示；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*1.16采血管标签条码核对功能 支持采血管标签打印粘贴后，通过标签条码信息核对模块进行扫描并与信息系统进行核对，保证采血标签内容的100%正确；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1.17分级报警根据故障等级，具备分级报警功能；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1.18工作状态显示系统，触摸液晶显示屏，尺寸≥10英寸，提供友好的用户交互界面，显示设备运行状态，以及故障诊断及指引功能。</w:t>
            </w:r>
          </w:p>
        </w:tc>
        <w:tc>
          <w:tcPr>
            <w:tcW w:w="13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2937"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2"/>
                <w:szCs w:val="22"/>
                <w:u w:val="none"/>
              </w:rPr>
            </w:pPr>
          </w:p>
        </w:tc>
        <w:tc>
          <w:tcPr>
            <w:tcW w:w="13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312"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2"/>
                <w:szCs w:val="22"/>
                <w:u w:val="none"/>
              </w:rPr>
            </w:pPr>
          </w:p>
        </w:tc>
        <w:tc>
          <w:tcPr>
            <w:tcW w:w="13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4710"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7"/>
                <w:lang w:val="en-US" w:eastAsia="zh-CN" w:bidi="ar"/>
              </w:rPr>
              <w:t>六、多功能轨道采血桌</w:t>
            </w:r>
            <w:r>
              <w:rPr>
                <w:rStyle w:val="7"/>
                <w:lang w:val="en-US" w:eastAsia="zh-CN" w:bidi="ar"/>
              </w:rPr>
              <w:br w:type="textWrapping"/>
            </w:r>
            <w:r>
              <w:rPr>
                <w:rStyle w:val="7"/>
                <w:lang w:val="en-US" w:eastAsia="zh-CN" w:bidi="ar"/>
              </w:rPr>
              <w:t>1、采血桌材质整体金属材质，台面覆盖抗腐蚀、易打理的超白硬质玻璃。</w:t>
            </w:r>
            <w:r>
              <w:rPr>
                <w:rStyle w:val="7"/>
                <w:lang w:val="en-US" w:eastAsia="zh-CN" w:bidi="ar"/>
              </w:rPr>
              <w:br w:type="textWrapping"/>
            </w:r>
            <w:r>
              <w:rPr>
                <w:rFonts w:hint="eastAsia" w:ascii="宋体" w:hAnsi="宋体" w:eastAsia="宋体" w:cs="宋体"/>
                <w:b/>
                <w:bCs/>
                <w:i w:val="0"/>
                <w:color w:val="000000"/>
                <w:kern w:val="0"/>
                <w:sz w:val="22"/>
                <w:szCs w:val="22"/>
                <w:u w:val="none"/>
                <w:lang w:val="en-US" w:eastAsia="zh-CN" w:bidi="ar"/>
              </w:rPr>
              <w:t>·</w:t>
            </w:r>
            <w:r>
              <w:rPr>
                <w:rStyle w:val="7"/>
                <w:b/>
                <w:bCs/>
                <w:lang w:val="en-US" w:eastAsia="zh-CN" w:bidi="ar"/>
              </w:rPr>
              <w:t>2、试管传输方式以收纳盒为载体进行分配、回收。每张采血桌内置2条传输轨道，带病人信息未采血的试管收纳盒运送轨道和采血后的标本试管收纳盒回收轨道。试管收纳盒自动循环。轨道封闭，无生物安全性危险。</w:t>
            </w:r>
            <w:r>
              <w:rPr>
                <w:rStyle w:val="7"/>
                <w:b/>
                <w:bCs/>
                <w:lang w:val="en-US" w:eastAsia="zh-CN" w:bidi="ar"/>
              </w:rPr>
              <w:br w:type="textWrapping"/>
            </w:r>
            <w:r>
              <w:rPr>
                <w:rFonts w:hint="eastAsia" w:ascii="宋体" w:hAnsi="宋体" w:eastAsia="宋体" w:cs="宋体"/>
                <w:b/>
                <w:bCs/>
                <w:i w:val="0"/>
                <w:color w:val="000000"/>
                <w:kern w:val="0"/>
                <w:sz w:val="22"/>
                <w:szCs w:val="22"/>
                <w:u w:val="none"/>
                <w:lang w:val="en-US" w:eastAsia="zh-CN" w:bidi="ar"/>
              </w:rPr>
              <w:t>·</w:t>
            </w:r>
            <w:r>
              <w:rPr>
                <w:rStyle w:val="7"/>
                <w:b/>
                <w:bCs/>
                <w:lang w:val="en-US" w:eastAsia="zh-CN" w:bidi="ar"/>
              </w:rPr>
              <w:t>3、传输轨道采用模块式设计，独立控制，停止运行时不影响采血工作。传输轨道采用透明视窗，可直接查看轨道内标本输送轨迹。传输方式皮带式宽轨，宽度≥120mm；标本批量式传输、非单管式。传输速度≥18米/分钟，速度可调。每段桌内传输轨道均安装智能感应报警装置，支持全程在线智能实时监控。</w:t>
            </w:r>
            <w:r>
              <w:rPr>
                <w:rStyle w:val="7"/>
                <w:b/>
                <w:bCs/>
                <w:lang w:val="en-US" w:eastAsia="zh-CN" w:bidi="ar"/>
              </w:rPr>
              <w:br w:type="textWrapping"/>
            </w:r>
            <w:r>
              <w:rPr>
                <w:rStyle w:val="7"/>
                <w:lang w:val="en-US" w:eastAsia="zh-CN" w:bidi="ar"/>
              </w:rPr>
              <w:t>4、配备桌上辅助存放台及桌边辅助存放柜，可将电子核对终端、扫描枪、标签打印机、回执打印机统一收纳至桌上辅助存放台内。不占用采血桌空间。</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1142"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七、标本回收箱</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1、支持集中回收标本；</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2、支持双桶设计，自动切换，支持连续不停机收集；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3、支持满载后自动弹出。</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380"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2、系统及相关软件（须与医院LIS系统对接）：</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5130" w:hRule="atLeast"/>
        </w:trPr>
        <w:tc>
          <w:tcPr>
            <w:tcW w:w="59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numPr>
                <w:ilvl w:val="0"/>
                <w:numId w:val="1"/>
              </w:numPr>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软件功能</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与医院LIS系统无缝对接，完成所有数据的收集、响应及传输。并使智能采血系统智能化运行；能够按照医院要求完成接口开发。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2.系统组成</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提供门诊采血中心工作的功能应用，包含信息接口模块、叫号系统的语音和显示模块、数据处理智能排队管理模块、仪器管理、外围设备接口模块等功能.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3.排队管理软件</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提供排队号码的存储与管理，支持通过对接口的控制实现外围设备包括采血台条码扫描器以及LED显示屏的同步控制和管理；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4.自助取号登记机</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提供一体化集成自助取号登记机，按照医院使用的登记介质(如条形码、就诊卡、医保卡、身份证、银行卡等)进行定制，并将条码扫描器、读卡器和键盘等集成在登记机内部，不外露；</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5.自助登记机功能</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提供自动打印排队号单(可按医院要求设定采血提示、项目信息，分时段预约等内容)，自动打印非血标签功能，触屏控制功能，自动扣费，自动审核收费、拒止未收费患者登记采血功能；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6.分时段多规则优先设置</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能够按照医院优先规则完成接口研发；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7.语音叫号软件</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提供国内语言环境下开发、支持中英文、数字的语音自动合成，叫号信息内容可灵活变更、设定；合成语音达到正常人说话的连贯效果；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8.功率放大器</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提供多路AUX输入、输出；具备话筒输入有默音功能，便于插入紧急广播；</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9.重复呼叫</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提供过号患者提示界面，并具备重新呼叫功能；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10.转发呼叫</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提供转发呼叫功能，特殊情况下，灵活调整分流采血患者；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11.糖耐量多次智能叫号</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支持糖耐量多次智能自动定时叫号提醒功能；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12.叫号显示</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可显示就诊叫号患者、预叫号患者、过号患者及其他提示信息；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13.叫号触发功能</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至少提供通过标签扫描触发叫号方便转移呼叫，或通过软件电子自动触发叫号；可选择开启预叫号功能；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14.登记功能</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提供采血台用户登记管理功能，可根据工作量灵活调节采血台开放数量；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15.查询统计功能</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提供可针对工作量、患者数量、耗材用量等数据进行多种查询统计计算功能，支持自动根据小时、日、月、年，生成各种统计报告和图表；</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16.采血时间记录</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采血完成后，扫描试管条码自动记录采血时间；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17.应急终端功能</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在特殊应急情况下，可一键切换到传统手工模式。</w:t>
            </w:r>
          </w:p>
        </w:tc>
        <w:tc>
          <w:tcPr>
            <w:tcW w:w="137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365" w:hRule="atLeast"/>
        </w:trPr>
        <w:tc>
          <w:tcPr>
            <w:tcW w:w="590" w:type="dxa"/>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20" w:type="dxa"/>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3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2"/>
                <w:szCs w:val="22"/>
                <w:u w:val="none"/>
              </w:rPr>
            </w:pPr>
          </w:p>
        </w:tc>
        <w:tc>
          <w:tcPr>
            <w:tcW w:w="1370" w:type="dxa"/>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460" w:hRule="atLeast"/>
        </w:trPr>
        <w:tc>
          <w:tcPr>
            <w:tcW w:w="93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Style w:val="8"/>
                <w:rFonts w:hAnsi="宋体"/>
                <w:b/>
                <w:bCs/>
                <w:lang w:val="en-US" w:eastAsia="zh-CN" w:bidi="ar"/>
              </w:rPr>
            </w:pPr>
            <w:r>
              <w:rPr>
                <w:rStyle w:val="8"/>
                <w:rFonts w:hAnsi="宋体"/>
                <w:b/>
                <w:bCs/>
                <w:lang w:val="en-US" w:eastAsia="zh-CN" w:bidi="ar"/>
              </w:rPr>
              <w:t>商务要求（不允许负偏离）</w:t>
            </w:r>
          </w:p>
        </w:tc>
      </w:tr>
      <w:tr>
        <w:tblPrEx>
          <w:tblCellMar>
            <w:top w:w="0" w:type="dxa"/>
            <w:left w:w="0" w:type="dxa"/>
            <w:bottom w:w="0" w:type="dxa"/>
            <w:right w:w="0" w:type="dxa"/>
          </w:tblCellMar>
        </w:tblPrEx>
        <w:trPr>
          <w:trHeight w:val="605" w:hRule="atLeast"/>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交货时间</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合同签订后90天内完成整体项目交付</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8"/>
                <w:rFonts w:hAnsi="宋体"/>
                <w:b/>
                <w:bCs/>
                <w:lang w:val="en-US" w:eastAsia="zh-CN" w:bidi="ar"/>
              </w:rPr>
            </w:pPr>
          </w:p>
        </w:tc>
      </w:tr>
      <w:tr>
        <w:tblPrEx>
          <w:tblCellMar>
            <w:top w:w="0" w:type="dxa"/>
            <w:left w:w="0" w:type="dxa"/>
            <w:bottom w:w="0" w:type="dxa"/>
            <w:right w:w="0" w:type="dxa"/>
          </w:tblCellMar>
        </w:tblPrEx>
        <w:trPr>
          <w:trHeight w:val="735" w:hRule="atLeast"/>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付款条件</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硬件设备到货且软件安装后付款30%，系统稳定运行且验收合格后支付65%，质保期满后付款5%。</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8"/>
                <w:rFonts w:hAnsi="宋体"/>
                <w:b/>
                <w:bCs/>
                <w:lang w:val="en-US" w:eastAsia="zh-CN" w:bidi="ar"/>
              </w:rPr>
            </w:pPr>
          </w:p>
        </w:tc>
      </w:tr>
      <w:tr>
        <w:tblPrEx>
          <w:tblCellMar>
            <w:top w:w="0" w:type="dxa"/>
            <w:left w:w="0" w:type="dxa"/>
            <w:bottom w:w="0" w:type="dxa"/>
            <w:right w:w="0" w:type="dxa"/>
          </w:tblCellMar>
        </w:tblPrEx>
        <w:trPr>
          <w:trHeight w:val="2305" w:hRule="atLeast"/>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售后服务</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1、软、硬件质保期≥3年，质保期从验收合格日期起算。质保期内系统软、硬件均免费升级维护。</w:t>
            </w:r>
            <w:r>
              <w:rPr>
                <w:rFonts w:hint="eastAsia" w:ascii="宋体" w:hAnsi="宋体" w:cs="宋体"/>
                <w:i w:val="0"/>
                <w:color w:val="000000"/>
                <w:kern w:val="0"/>
                <w:sz w:val="22"/>
                <w:szCs w:val="22"/>
                <w:u w:val="none"/>
                <w:lang w:val="en-US" w:eastAsia="zh-CN" w:bidi="ar"/>
              </w:rPr>
              <w:t>质保</w:t>
            </w:r>
            <w:r>
              <w:rPr>
                <w:rFonts w:hint="eastAsia" w:ascii="宋体" w:hAnsi="宋体" w:eastAsia="宋体" w:cs="宋体"/>
                <w:i w:val="0"/>
                <w:color w:val="000000"/>
                <w:kern w:val="0"/>
                <w:sz w:val="22"/>
                <w:szCs w:val="22"/>
                <w:u w:val="none"/>
                <w:lang w:val="en-US" w:eastAsia="zh-CN" w:bidi="ar"/>
              </w:rPr>
              <w:t>期内开机率不低于95%，</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2、按照保密要求，数据不能出院区，质保期内如发生硬盘等存储介质故障，厂家免费换新，医院不退还旧硬盘。</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3、提供7×24小时热线电话支持服务、远程支持、现场维护三种方式响应故障，负责提供技术问题的解答和技术指导；</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w:t>
            </w:r>
            <w:r>
              <w:rPr>
                <w:rFonts w:hint="eastAsia" w:ascii="宋体" w:hAnsi="宋体" w:cs="宋体"/>
                <w:i w:val="0"/>
                <w:color w:val="000000"/>
                <w:kern w:val="0"/>
                <w:sz w:val="22"/>
                <w:szCs w:val="22"/>
                <w:u w:val="none"/>
                <w:lang w:val="en-US" w:eastAsia="zh-CN" w:bidi="ar"/>
              </w:rPr>
              <w:t>质保</w:t>
            </w:r>
            <w:r>
              <w:rPr>
                <w:rFonts w:hint="eastAsia" w:ascii="宋体" w:hAnsi="宋体" w:eastAsia="宋体" w:cs="宋体"/>
                <w:i w:val="0"/>
                <w:color w:val="000000"/>
                <w:kern w:val="0"/>
                <w:sz w:val="22"/>
                <w:szCs w:val="22"/>
                <w:u w:val="none"/>
                <w:lang w:val="en-US" w:eastAsia="zh-CN" w:bidi="ar"/>
              </w:rPr>
              <w:t>期内出现软硬件故障时，接到任何通知式的故障报修，软件报修时间需在20分钟内到达现场，维修时间不超过30分钟，如有特殊情况需要及时上报。硬件报修时间需要在1小时内到场响应，维修时间不超过3小时，如有特殊情况需要及时上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5、每年厂商需提供至少四次巡检，并提供巡检报告；</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6、厂家免费提供软硬件设备操作培训和专业维修培训以及提供操作手册；</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w:t>
            </w:r>
            <w:r>
              <w:rPr>
                <w:rFonts w:hint="eastAsia" w:ascii="宋体" w:hAnsi="宋体" w:cs="宋体"/>
                <w:i w:val="0"/>
                <w:color w:val="000000"/>
                <w:kern w:val="0"/>
                <w:sz w:val="22"/>
                <w:szCs w:val="22"/>
                <w:u w:val="none"/>
                <w:lang w:val="en-US" w:eastAsia="zh-CN" w:bidi="ar"/>
              </w:rPr>
              <w:t>质保</w:t>
            </w:r>
            <w:r>
              <w:rPr>
                <w:rFonts w:hint="eastAsia" w:ascii="宋体" w:hAnsi="宋体" w:eastAsia="宋体" w:cs="宋体"/>
                <w:i w:val="0"/>
                <w:color w:val="000000"/>
                <w:kern w:val="0"/>
                <w:sz w:val="22"/>
                <w:szCs w:val="22"/>
                <w:u w:val="none"/>
                <w:lang w:val="en-US" w:eastAsia="zh-CN" w:bidi="ar"/>
              </w:rPr>
              <w:t>期满后售后免人工费。</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8"/>
                <w:rFonts w:hAnsi="宋体"/>
                <w:b/>
                <w:bCs/>
                <w:lang w:val="en-US" w:eastAsia="zh-CN" w:bidi="ar"/>
              </w:rPr>
            </w:pPr>
          </w:p>
        </w:tc>
      </w:tr>
      <w:tr>
        <w:tblPrEx>
          <w:tblCellMar>
            <w:top w:w="0" w:type="dxa"/>
            <w:left w:w="0" w:type="dxa"/>
            <w:bottom w:w="0" w:type="dxa"/>
            <w:right w:w="0" w:type="dxa"/>
          </w:tblCellMar>
        </w:tblPrEx>
        <w:trPr>
          <w:trHeight w:val="2305" w:hRule="atLeast"/>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数据要求</w:t>
            </w:r>
          </w:p>
        </w:tc>
        <w:tc>
          <w:tcPr>
            <w:tcW w:w="63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*1、要求数据库管理员用户密码交付信息科；</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*2、所有数据库需根据院方要求配合院方纳入容灾平台、离线备份平台、数据库监控平台、数据资源平台；</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*3、需提供数据备份机制、数据重建机制；</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*4、所有存有院方数据的存储介质不予返还；</w:t>
            </w:r>
            <w:r>
              <w:rPr>
                <w:rFonts w:hint="eastAsia" w:ascii="宋体" w:hAnsi="宋体" w:eastAsia="宋体" w:cs="宋体"/>
                <w:b/>
                <w:bCs/>
                <w:i w:val="0"/>
                <w:color w:val="000000"/>
                <w:kern w:val="0"/>
                <w:sz w:val="22"/>
                <w:szCs w:val="22"/>
                <w:u w:val="none"/>
                <w:lang w:val="en-US" w:eastAsia="zh-CN" w:bidi="ar"/>
              </w:rPr>
              <w:br w:type="textWrapping"/>
            </w:r>
            <w:r>
              <w:rPr>
                <w:rFonts w:hint="eastAsia" w:ascii="宋体" w:hAnsi="宋体" w:eastAsia="宋体" w:cs="宋体"/>
                <w:b/>
                <w:bCs/>
                <w:i w:val="0"/>
                <w:color w:val="000000"/>
                <w:kern w:val="0"/>
                <w:sz w:val="22"/>
                <w:szCs w:val="22"/>
                <w:u w:val="none"/>
                <w:lang w:val="en-US" w:eastAsia="zh-CN" w:bidi="ar"/>
              </w:rPr>
              <w:t>*5、数据库运维人员需在信息科报备，签署相关保密协议，并纳入信息科数管统一管理；</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kern w:val="2"/>
                <w:sz w:val="22"/>
                <w:szCs w:val="22"/>
                <w:u w:val="none"/>
                <w:lang w:val="en-US" w:eastAsia="zh-CN" w:bidi="ar-SA"/>
              </w:rPr>
            </w:pPr>
            <w:r>
              <w:rPr>
                <w:rStyle w:val="8"/>
                <w:rFonts w:hAnsi="宋体"/>
                <w:b/>
                <w:bCs/>
                <w:lang w:val="en-US" w:eastAsia="zh-CN" w:bidi="ar"/>
              </w:rPr>
              <w:t>*</w:t>
            </w:r>
            <w:r>
              <w:rPr>
                <w:rStyle w:val="7"/>
                <w:b/>
                <w:bCs/>
                <w:lang w:val="en-US" w:eastAsia="zh-CN" w:bidi="ar"/>
              </w:rPr>
              <w:t xml:space="preserve"> 号项提供承诺书证明材料</w:t>
            </w:r>
          </w:p>
        </w:tc>
      </w:tr>
      <w:tr>
        <w:tblPrEx>
          <w:tblCellMar>
            <w:top w:w="0" w:type="dxa"/>
            <w:left w:w="0" w:type="dxa"/>
            <w:bottom w:w="0" w:type="dxa"/>
            <w:right w:w="0" w:type="dxa"/>
          </w:tblCellMar>
        </w:tblPrEx>
        <w:trPr>
          <w:trHeight w:val="1070" w:hRule="atLeast"/>
        </w:trPr>
        <w:tc>
          <w:tcPr>
            <w:tcW w:w="93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8"/>
                <w:rFonts w:hint="eastAsia" w:hAnsi="宋体"/>
                <w:b/>
                <w:bCs/>
                <w:lang w:val="en-US" w:eastAsia="zh-CN" w:bidi="ar"/>
              </w:rPr>
            </w:pPr>
            <w:r>
              <w:rPr>
                <w:rStyle w:val="8"/>
                <w:rFonts w:hint="eastAsia" w:hAnsi="宋体"/>
                <w:b/>
                <w:bCs/>
                <w:lang w:val="en-US" w:eastAsia="zh-CN" w:bidi="ar"/>
              </w:rPr>
              <w:t>说明：1.加注“*”号的技术指标为关键指标，≥1项未达到招标文件要求，即做废标处理</w:t>
            </w:r>
          </w:p>
          <w:p>
            <w:pPr>
              <w:keepNext w:val="0"/>
              <w:keepLines w:val="0"/>
              <w:widowControl/>
              <w:suppressLineNumbers w:val="0"/>
              <w:jc w:val="left"/>
              <w:textAlignment w:val="center"/>
              <w:rPr>
                <w:rStyle w:val="8"/>
                <w:rFonts w:hint="eastAsia" w:hAnsi="宋体"/>
                <w:b/>
                <w:bCs/>
                <w:lang w:val="en-US" w:eastAsia="zh-CN" w:bidi="ar"/>
              </w:rPr>
            </w:pPr>
            <w:r>
              <w:rPr>
                <w:rStyle w:val="8"/>
                <w:rFonts w:hint="eastAsia" w:hAnsi="宋体"/>
                <w:b/>
                <w:bCs/>
                <w:lang w:val="en-US" w:eastAsia="zh-CN" w:bidi="ar"/>
              </w:rPr>
              <w:t xml:space="preserve">      2.加注“·”号的技术指标为重要指标</w:t>
            </w:r>
          </w:p>
          <w:p>
            <w:pPr>
              <w:keepNext w:val="0"/>
              <w:keepLines w:val="0"/>
              <w:widowControl/>
              <w:suppressLineNumbers w:val="0"/>
              <w:jc w:val="left"/>
              <w:textAlignment w:val="center"/>
              <w:rPr>
                <w:rStyle w:val="8"/>
                <w:rFonts w:hint="eastAsia" w:hAnsi="宋体"/>
                <w:b/>
                <w:bCs/>
                <w:lang w:val="en-US" w:eastAsia="zh-CN" w:bidi="ar"/>
              </w:rPr>
            </w:pPr>
            <w:r>
              <w:rPr>
                <w:rStyle w:val="8"/>
                <w:rFonts w:hint="eastAsia" w:hAnsi="宋体"/>
                <w:b/>
                <w:bCs/>
                <w:lang w:val="en-US" w:eastAsia="zh-CN" w:bidi="ar"/>
              </w:rPr>
              <w:t xml:space="preserve">      3.加注“*”、“·”号的技术指标均需投标企业提供证明材料</w:t>
            </w:r>
          </w:p>
          <w:p>
            <w:pPr>
              <w:keepNext w:val="0"/>
              <w:keepLines w:val="0"/>
              <w:widowControl/>
              <w:suppressLineNumbers w:val="0"/>
              <w:jc w:val="left"/>
              <w:textAlignment w:val="center"/>
              <w:rPr>
                <w:rStyle w:val="8"/>
                <w:rFonts w:hAnsi="宋体"/>
                <w:b/>
                <w:bCs/>
                <w:lang w:val="en-US" w:eastAsia="zh-CN" w:bidi="ar"/>
              </w:rPr>
            </w:pPr>
            <w:r>
              <w:rPr>
                <w:rStyle w:val="8"/>
                <w:rFonts w:hint="eastAsia" w:hAnsi="宋体"/>
                <w:b/>
                <w:bCs/>
                <w:lang w:val="en-US" w:eastAsia="zh-CN" w:bidi="ar"/>
              </w:rPr>
              <w:t xml:space="preserve">      4.如有配套耗材（试剂），需求单位同时需提报医疗设备配套耗材（试剂）用量测算表</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B1920"/>
    <w:multiLevelType w:val="singleLevel"/>
    <w:tmpl w:val="2D1B192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5477C"/>
    <w:rsid w:val="1375477C"/>
    <w:rsid w:val="5ED13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bCs/>
      <w:sz w:val="44"/>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4">
    <w:name w:val="annotation text"/>
    <w:basedOn w:val="1"/>
    <w:qFormat/>
    <w:uiPriority w:val="0"/>
    <w:pPr>
      <w:jc w:val="left"/>
    </w:pPr>
  </w:style>
  <w:style w:type="character" w:customStyle="1" w:styleId="7">
    <w:name w:val="font71"/>
    <w:basedOn w:val="6"/>
    <w:qFormat/>
    <w:uiPriority w:val="0"/>
    <w:rPr>
      <w:rFonts w:hint="eastAsia" w:ascii="宋体" w:hAnsi="宋体" w:eastAsia="宋体" w:cs="宋体"/>
      <w:color w:val="000000"/>
      <w:sz w:val="24"/>
      <w:szCs w:val="24"/>
      <w:u w:val="none"/>
    </w:rPr>
  </w:style>
  <w:style w:type="character" w:customStyle="1" w:styleId="8">
    <w:name w:val="font51"/>
    <w:basedOn w:val="6"/>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2023-10-18T07:40:00Z</dcterms:created>
  <dc:creator>孙燕君</dc:creator>
  <cp:lastModifiedBy>孙燕君</cp:lastModifiedBy>
  <dcterms:modified xsi:type="dcterms:W3CDTF">2023-10-19T02:23:25Z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