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84" w:type="dxa"/>
        <w:tblInd w:w="0" w:type="dxa"/>
        <w:shd w:val="clear" w:color="auto" w:fill="auto"/>
        <w:tblLayout w:type="fixed"/>
        <w:tblCellMar>
          <w:top w:w="0" w:type="dxa"/>
          <w:left w:w="0" w:type="dxa"/>
          <w:bottom w:w="0" w:type="dxa"/>
          <w:right w:w="0" w:type="dxa"/>
        </w:tblCellMar>
      </w:tblPr>
      <w:tblGrid>
        <w:gridCol w:w="934"/>
        <w:gridCol w:w="1588"/>
        <w:gridCol w:w="693"/>
        <w:gridCol w:w="1595"/>
        <w:gridCol w:w="1312"/>
        <w:gridCol w:w="1490"/>
        <w:gridCol w:w="1772"/>
      </w:tblGrid>
      <w:tr>
        <w:tblPrEx>
          <w:shd w:val="clear" w:color="auto" w:fill="auto"/>
          <w:tblLayout w:type="fixed"/>
          <w:tblCellMar>
            <w:top w:w="0" w:type="dxa"/>
            <w:left w:w="0" w:type="dxa"/>
            <w:bottom w:w="0" w:type="dxa"/>
            <w:right w:w="0" w:type="dxa"/>
          </w:tblCellMar>
        </w:tblPrEx>
        <w:trPr>
          <w:trHeight w:val="763" w:hRule="atLeast"/>
        </w:trPr>
        <w:tc>
          <w:tcPr>
            <w:tcW w:w="9384" w:type="dxa"/>
            <w:gridSpan w:val="7"/>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highlight w:val="none"/>
                <w:u w:val="none"/>
              </w:rPr>
            </w:pPr>
            <w:r>
              <w:rPr>
                <w:rFonts w:hint="eastAsia" w:ascii="方正小标宋简体" w:hAnsi="方正小标宋简体" w:eastAsia="方正小标宋简体" w:cs="方正小标宋简体"/>
                <w:b/>
                <w:i w:val="0"/>
                <w:color w:val="000000"/>
                <w:kern w:val="0"/>
                <w:sz w:val="40"/>
                <w:szCs w:val="40"/>
                <w:highlight w:val="none"/>
                <w:u w:val="none"/>
                <w:lang w:val="en-US" w:eastAsia="zh-CN" w:bidi="ar"/>
              </w:rPr>
              <w:t>医疗设备技术需求确认表</w:t>
            </w:r>
          </w:p>
        </w:tc>
      </w:tr>
      <w:tr>
        <w:tblPrEx>
          <w:tblLayout w:type="fixed"/>
          <w:tblCellMar>
            <w:top w:w="0" w:type="dxa"/>
            <w:left w:w="0" w:type="dxa"/>
            <w:bottom w:w="0" w:type="dxa"/>
            <w:right w:w="0" w:type="dxa"/>
          </w:tblCellMar>
        </w:tblPrEx>
        <w:trPr>
          <w:trHeight w:val="703"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设备名称</w:t>
            </w:r>
          </w:p>
        </w:tc>
        <w:tc>
          <w:tcPr>
            <w:tcW w:w="228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全自动化学发光免疫分析仪</w:t>
            </w:r>
          </w:p>
        </w:tc>
        <w:tc>
          <w:tcPr>
            <w:tcW w:w="15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总数量（台/套）</w:t>
            </w:r>
          </w:p>
        </w:tc>
        <w:tc>
          <w:tcPr>
            <w:tcW w:w="13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1</w:t>
            </w:r>
          </w:p>
        </w:tc>
        <w:tc>
          <w:tcPr>
            <w:tcW w:w="14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预算总金额（万元）</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49</w:t>
            </w:r>
          </w:p>
        </w:tc>
      </w:tr>
      <w:tr>
        <w:tblPrEx>
          <w:tblLayout w:type="fixed"/>
          <w:tblCellMar>
            <w:top w:w="0" w:type="dxa"/>
            <w:left w:w="0" w:type="dxa"/>
            <w:bottom w:w="0" w:type="dxa"/>
            <w:right w:w="0" w:type="dxa"/>
          </w:tblCellMar>
        </w:tblPrEx>
        <w:trPr>
          <w:trHeight w:val="80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序号</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技术和性能参数名称</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招标参数和性能要求</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备注</w:t>
            </w: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基本要求</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采用化学发光免疫分析技术，检测标本可以为血清、血浆、尿液，为临床多种疾病提供诊断参考</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440" w:hRule="atLeast"/>
        </w:trPr>
        <w:tc>
          <w:tcPr>
            <w:tcW w:w="9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资质认证</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*2.1</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CFDA认证</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具备CFDA认证</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·2.2</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CE认证</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具备CE认证</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技术和性能参数</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·3.1</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检测方法</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采用直接化学发光法（发光标记物为吖啶酯或ABEI）</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·3.2</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速度</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取得第一个检测时间≤25 分钟</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·3.3</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平均检测速度</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检测速度每小时≥180测试</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8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3.4</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检测项目</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106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*3.4.1</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可检测项目</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TORCH（弓形虫 IgG、弓形虫 IgM、风疹 IgG、风疹 IgM、巨细胞 IgG、巨细胞 IgM）</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8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·3.4.2</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具备检测项目</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highlight w:val="none"/>
                <w:u w:val="none"/>
                <w:lang w:val="en-US"/>
              </w:rPr>
            </w:pPr>
            <w:r>
              <w:rPr>
                <w:rFonts w:hint="eastAsia" w:ascii="宋体" w:hAnsi="宋体" w:eastAsia="宋体" w:cs="宋体"/>
                <w:i w:val="0"/>
                <w:color w:val="000000"/>
                <w:kern w:val="0"/>
                <w:sz w:val="22"/>
                <w:szCs w:val="22"/>
                <w:highlight w:val="none"/>
                <w:u w:val="none"/>
                <w:lang w:val="en-US" w:eastAsia="zh-CN" w:bidi="ar"/>
              </w:rPr>
              <w:t>尿醛固酮</w:t>
            </w:r>
            <w:r>
              <w:rPr>
                <w:rFonts w:hint="eastAsia" w:ascii="宋体" w:hAnsi="宋体" w:cs="宋体"/>
                <w:i w:val="0"/>
                <w:color w:val="000000"/>
                <w:kern w:val="0"/>
                <w:sz w:val="22"/>
                <w:szCs w:val="22"/>
                <w:highlight w:val="none"/>
                <w:u w:val="none"/>
                <w:lang w:val="en-US" w:eastAsia="zh-CN" w:bidi="ar"/>
              </w:rPr>
              <w:t>，血醛固酮，直接肾素，</w:t>
            </w:r>
            <w:r>
              <w:rPr>
                <w:rFonts w:hint="eastAsia" w:ascii="宋体" w:hAnsi="宋体" w:eastAsia="宋体" w:cs="宋体"/>
                <w:i w:val="0"/>
                <w:color w:val="000000"/>
                <w:kern w:val="0"/>
                <w:sz w:val="22"/>
                <w:szCs w:val="22"/>
                <w:highlight w:val="none"/>
                <w:u w:val="none"/>
                <w:lang w:val="en-US" w:eastAsia="zh-CN" w:bidi="ar"/>
              </w:rPr>
              <w:t>细小病毒B19抗体，</w:t>
            </w:r>
            <w:r>
              <w:rPr>
                <w:rFonts w:hint="eastAsia" w:ascii="宋体" w:hAnsi="宋体" w:cs="宋体"/>
                <w:i w:val="0"/>
                <w:color w:val="000000"/>
                <w:kern w:val="0"/>
                <w:sz w:val="22"/>
                <w:szCs w:val="22"/>
                <w:highlight w:val="none"/>
                <w:u w:val="none"/>
                <w:lang w:val="en-US" w:eastAsia="zh-CN" w:bidi="ar"/>
              </w:rPr>
              <w:t xml:space="preserve">单纯疱疹病毒1+2 </w:t>
            </w:r>
            <w:r>
              <w:rPr>
                <w:rFonts w:hint="eastAsia" w:ascii="宋体" w:hAnsi="宋体" w:eastAsia="宋体" w:cs="宋体"/>
                <w:i w:val="0"/>
                <w:color w:val="000000"/>
                <w:kern w:val="0"/>
                <w:sz w:val="22"/>
                <w:szCs w:val="22"/>
                <w:highlight w:val="none"/>
                <w:u w:val="none"/>
                <w:lang w:val="en-US" w:eastAsia="zh-CN" w:bidi="ar"/>
              </w:rPr>
              <w:t>IgG</w:t>
            </w:r>
            <w:r>
              <w:rPr>
                <w:rFonts w:hint="eastAsia" w:ascii="宋体" w:hAnsi="宋体" w:cs="宋体"/>
                <w:i w:val="0"/>
                <w:color w:val="000000"/>
                <w:kern w:val="0"/>
                <w:sz w:val="22"/>
                <w:szCs w:val="22"/>
                <w:highlight w:val="none"/>
                <w:u w:val="none"/>
                <w:lang w:val="en-US" w:eastAsia="zh-CN" w:bidi="ar"/>
              </w:rPr>
              <w:t xml:space="preserve">，单纯疱疹病毒1+2 </w:t>
            </w:r>
            <w:r>
              <w:rPr>
                <w:rFonts w:hint="eastAsia" w:ascii="宋体" w:hAnsi="宋体" w:eastAsia="宋体" w:cs="宋体"/>
                <w:i w:val="0"/>
                <w:color w:val="000000"/>
                <w:kern w:val="0"/>
                <w:sz w:val="22"/>
                <w:szCs w:val="22"/>
                <w:highlight w:val="none"/>
                <w:u w:val="none"/>
                <w:lang w:val="en-US" w:eastAsia="zh-CN" w:bidi="ar"/>
              </w:rPr>
              <w:t>IgM</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8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·3.4.3</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可开展检测项目</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highlight w:val="none"/>
                <w:u w:val="none"/>
                <w:lang w:val="en-US"/>
              </w:rPr>
            </w:pPr>
            <w:r>
              <w:rPr>
                <w:rFonts w:hint="eastAsia" w:ascii="宋体" w:hAnsi="宋体" w:cs="宋体"/>
                <w:i w:val="0"/>
                <w:color w:val="000000"/>
                <w:kern w:val="0"/>
                <w:sz w:val="22"/>
                <w:szCs w:val="22"/>
                <w:highlight w:val="none"/>
                <w:u w:val="none"/>
                <w:lang w:val="en-US" w:eastAsia="zh-CN" w:bidi="ar"/>
              </w:rPr>
              <w:t>EB病毒衣壳抗原</w:t>
            </w:r>
            <w:r>
              <w:rPr>
                <w:rFonts w:hint="eastAsia" w:ascii="宋体" w:hAnsi="宋体" w:eastAsia="宋体" w:cs="宋体"/>
                <w:i w:val="0"/>
                <w:color w:val="000000"/>
                <w:kern w:val="0"/>
                <w:sz w:val="22"/>
                <w:szCs w:val="22"/>
                <w:highlight w:val="none"/>
                <w:u w:val="none"/>
                <w:lang w:val="en-US" w:eastAsia="zh-CN" w:bidi="ar"/>
              </w:rPr>
              <w:t>IgM</w:t>
            </w:r>
            <w:r>
              <w:rPr>
                <w:rFonts w:hint="eastAsia" w:ascii="宋体" w:hAnsi="宋体" w:cs="宋体"/>
                <w:i w:val="0"/>
                <w:color w:val="000000"/>
                <w:kern w:val="0"/>
                <w:sz w:val="22"/>
                <w:szCs w:val="22"/>
                <w:highlight w:val="none"/>
                <w:u w:val="none"/>
                <w:lang w:val="en-US" w:eastAsia="zh-CN" w:bidi="ar"/>
              </w:rPr>
              <w:t>抗体，EB病毒衣壳抗原</w:t>
            </w:r>
            <w:r>
              <w:rPr>
                <w:rFonts w:hint="eastAsia" w:ascii="宋体" w:hAnsi="宋体" w:eastAsia="宋体" w:cs="宋体"/>
                <w:i w:val="0"/>
                <w:color w:val="000000"/>
                <w:kern w:val="0"/>
                <w:sz w:val="22"/>
                <w:szCs w:val="22"/>
                <w:highlight w:val="none"/>
                <w:u w:val="none"/>
                <w:lang w:val="en-US" w:eastAsia="zh-CN" w:bidi="ar"/>
              </w:rPr>
              <w:t>IgG</w:t>
            </w:r>
            <w:r>
              <w:rPr>
                <w:rFonts w:hint="eastAsia" w:ascii="宋体" w:hAnsi="宋体" w:cs="宋体"/>
                <w:i w:val="0"/>
                <w:color w:val="000000"/>
                <w:kern w:val="0"/>
                <w:sz w:val="22"/>
                <w:szCs w:val="22"/>
                <w:highlight w:val="none"/>
                <w:u w:val="none"/>
                <w:lang w:val="en-US" w:eastAsia="zh-CN" w:bidi="ar"/>
              </w:rPr>
              <w:t>抗体，EB病毒早期抗原</w:t>
            </w:r>
            <w:r>
              <w:rPr>
                <w:rFonts w:hint="eastAsia" w:ascii="宋体" w:hAnsi="宋体" w:eastAsia="宋体" w:cs="宋体"/>
                <w:i w:val="0"/>
                <w:color w:val="000000"/>
                <w:kern w:val="0"/>
                <w:sz w:val="22"/>
                <w:szCs w:val="22"/>
                <w:highlight w:val="none"/>
                <w:u w:val="none"/>
                <w:lang w:val="en-US" w:eastAsia="zh-CN" w:bidi="ar"/>
              </w:rPr>
              <w:t>IgG</w:t>
            </w:r>
            <w:r>
              <w:rPr>
                <w:rFonts w:hint="eastAsia" w:ascii="宋体" w:hAnsi="宋体" w:cs="宋体"/>
                <w:i w:val="0"/>
                <w:color w:val="000000"/>
                <w:kern w:val="0"/>
                <w:sz w:val="22"/>
                <w:szCs w:val="22"/>
                <w:highlight w:val="none"/>
                <w:u w:val="none"/>
                <w:lang w:val="en-US" w:eastAsia="zh-CN" w:bidi="ar"/>
              </w:rPr>
              <w:t>抗体，EB病毒核心抗原</w:t>
            </w:r>
            <w:r>
              <w:rPr>
                <w:rFonts w:hint="eastAsia" w:ascii="宋体" w:hAnsi="宋体" w:eastAsia="宋体" w:cs="宋体"/>
                <w:i w:val="0"/>
                <w:color w:val="000000"/>
                <w:kern w:val="0"/>
                <w:sz w:val="22"/>
                <w:szCs w:val="22"/>
                <w:highlight w:val="none"/>
                <w:u w:val="none"/>
                <w:lang w:val="en-US" w:eastAsia="zh-CN" w:bidi="ar"/>
              </w:rPr>
              <w:t>IgG</w:t>
            </w:r>
            <w:r>
              <w:rPr>
                <w:rFonts w:hint="eastAsia" w:ascii="宋体" w:hAnsi="宋体" w:cs="宋体"/>
                <w:i w:val="0"/>
                <w:color w:val="000000"/>
                <w:kern w:val="0"/>
                <w:sz w:val="22"/>
                <w:szCs w:val="22"/>
                <w:highlight w:val="none"/>
                <w:u w:val="none"/>
                <w:lang w:val="en-US" w:eastAsia="zh-CN" w:bidi="ar"/>
              </w:rPr>
              <w:t>抗体，</w:t>
            </w:r>
            <w:r>
              <w:rPr>
                <w:rFonts w:hint="eastAsia" w:ascii="宋体" w:hAnsi="宋体" w:eastAsia="宋体" w:cs="宋体"/>
                <w:i w:val="0"/>
                <w:color w:val="000000"/>
                <w:kern w:val="0"/>
                <w:sz w:val="22"/>
                <w:szCs w:val="22"/>
                <w:highlight w:val="none"/>
                <w:u w:val="none"/>
                <w:lang w:val="en-US" w:eastAsia="zh-CN" w:bidi="ar"/>
              </w:rPr>
              <w:t>皮质醇</w:t>
            </w:r>
            <w:r>
              <w:rPr>
                <w:rFonts w:hint="eastAsia" w:ascii="宋体" w:hAnsi="宋体" w:cs="宋体"/>
                <w:i w:val="0"/>
                <w:color w:val="000000"/>
                <w:kern w:val="0"/>
                <w:sz w:val="22"/>
                <w:szCs w:val="22"/>
                <w:highlight w:val="none"/>
                <w:u w:val="none"/>
                <w:lang w:val="en-US" w:eastAsia="zh-CN" w:bidi="ar"/>
              </w:rPr>
              <w:t>、促肾上腺皮质激素、胰岛素、C-肽，组织多肽抗原（TPA）</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3.5</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随机取样</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样本可以以任何次序来处理，检测项目可以不同秩序编排</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6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·3.6</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连续取样</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可任意添加、替换样本、试剂、消耗品进仪器而不需停机，不会干扰正在进行的检测从而可进行无限量样本和项目的检测</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·3.7</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急诊功能</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具备急诊功能，优先测试</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3.8</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样本进样区容量</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样本容量≥120个</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404"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3.9</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样本更换</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随时、任意更换、增加样本</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416"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 xml:space="preserve">3.10 </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加样系统</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采用一次性加样头加样</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 xml:space="preserve">3.11 </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自动液面探测功能</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具备</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404"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3.13</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报警及安全指标</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设备指标异常提示和安全报警声、光指示</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1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配置需求</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设备主机一套、电脑一套、激光打印机、专用软件一套、UPS一台（断电设备运行≥20分钟）及其它标配附件</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38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配套耗材</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具体年用量详见附件</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38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售后条款</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883"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*6.1</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原厂保修年限</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≥3年，保修期内开机率不低于95%（按365日/年计算，含节假日)，未达到要求的开机率天数，按双倍天数顺延保修期。</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98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*6.2</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零配件支持</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6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6.3</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零配件保证供应时长</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厂家自报</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97"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6.4</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到位维修响应</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维修到达现场时间≤0.5个工作日（京内）</w:t>
            </w:r>
            <w:r>
              <w:rPr>
                <w:rFonts w:hint="eastAsia" w:ascii="宋体" w:hAnsi="宋体" w:eastAsia="宋体" w:cs="宋体"/>
                <w:i w:val="0"/>
                <w:color w:val="000000"/>
                <w:kern w:val="0"/>
                <w:sz w:val="22"/>
                <w:szCs w:val="22"/>
                <w:highlight w:val="none"/>
                <w:u w:val="none"/>
                <w:lang w:val="en-US" w:eastAsia="zh-CN" w:bidi="ar"/>
              </w:rPr>
              <w:br w:type="textWrapping"/>
            </w:r>
            <w:r>
              <w:rPr>
                <w:rFonts w:hint="eastAsia" w:ascii="宋体" w:hAnsi="宋体" w:eastAsia="宋体" w:cs="宋体"/>
                <w:i w:val="0"/>
                <w:color w:val="000000"/>
                <w:kern w:val="0"/>
                <w:sz w:val="22"/>
                <w:szCs w:val="22"/>
                <w:highlight w:val="none"/>
                <w:u w:val="none"/>
                <w:lang w:val="en-US" w:eastAsia="zh-CN" w:bidi="ar"/>
              </w:rPr>
              <w:t>维修到达现场时间≤3个工作日（京外）</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97"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*6.5</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保修期外维修费用</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提供免费保修期外的年度整机保修费用价格，提供维修工时费计算方法及价格</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03"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·6.6</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技术支持和服务网点</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提供全国主要城市售后服务网点及售后人员数量</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4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·6.7</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升级与软件维护</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保修期内免费升级和软件维护；保修期外，原软件维护仅收工时费</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823"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·6.8</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专用工具、资料及其它</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提供设备配套的维修专用工具，资料（操作手册、维修手册等）</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36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·6.9</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培训</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提供使用培训和工程师原厂培训</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425"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6.10</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交货期</w:t>
            </w:r>
            <w:bookmarkStart w:id="0" w:name="_GoBack"/>
            <w:bookmarkEnd w:id="0"/>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合同签订后3个月内交货</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20" w:hRule="atLeast"/>
        </w:trPr>
        <w:tc>
          <w:tcPr>
            <w:tcW w:w="9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7</w:t>
            </w:r>
          </w:p>
        </w:tc>
        <w:tc>
          <w:tcPr>
            <w:tcW w:w="15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配套医用</w:t>
            </w:r>
          </w:p>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耗材（试剂）需求</w:t>
            </w:r>
          </w:p>
        </w:tc>
        <w:tc>
          <w:tcPr>
            <w:tcW w:w="5090"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封闭耗材</w:t>
            </w:r>
          </w:p>
        </w:tc>
        <w:tc>
          <w:tcPr>
            <w:tcW w:w="17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1783" w:hRule="atLeast"/>
        </w:trPr>
        <w:tc>
          <w:tcPr>
            <w:tcW w:w="9384"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备注：</w:t>
            </w:r>
            <w:r>
              <w:rPr>
                <w:rFonts w:hint="default" w:ascii="Times New Roman" w:hAnsi="Times New Roman" w:eastAsia="宋体" w:cs="Times New Roman"/>
                <w:i w:val="0"/>
                <w:color w:val="000000"/>
                <w:kern w:val="0"/>
                <w:sz w:val="24"/>
                <w:szCs w:val="24"/>
                <w:highlight w:val="none"/>
                <w:u w:val="none"/>
                <w:lang w:val="en-US" w:eastAsia="zh-CN" w:bidi="ar"/>
              </w:rPr>
              <w:t xml:space="preserve">1. </w:t>
            </w:r>
            <w:r>
              <w:rPr>
                <w:rFonts w:hint="eastAsia" w:ascii="宋体" w:hAnsi="宋体" w:eastAsia="宋体" w:cs="宋体"/>
                <w:i w:val="0"/>
                <w:color w:val="000000"/>
                <w:kern w:val="0"/>
                <w:sz w:val="24"/>
                <w:szCs w:val="24"/>
                <w:highlight w:val="none"/>
                <w:u w:val="none"/>
                <w:lang w:val="en-US" w:eastAsia="zh-CN" w:bidi="ar"/>
              </w:rPr>
              <w:t>加注“*”号的技术指标为关键指标，≥1项未达到招标文件要求，即做废标处理。</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 xml:space="preserve">      2.加注“</w:t>
            </w:r>
            <w:r>
              <w:rPr>
                <w:rFonts w:hint="eastAsia" w:ascii="宋体" w:hAnsi="宋体" w:eastAsia="宋体" w:cs="宋体"/>
                <w:i w:val="0"/>
                <w:color w:val="000000"/>
                <w:kern w:val="0"/>
                <w:sz w:val="40"/>
                <w:szCs w:val="40"/>
                <w:highlight w:val="none"/>
                <w:u w:val="none"/>
                <w:lang w:val="en-US" w:eastAsia="zh-CN" w:bidi="ar"/>
              </w:rPr>
              <w:t>·</w:t>
            </w:r>
            <w:r>
              <w:rPr>
                <w:rFonts w:hint="eastAsia" w:ascii="宋体" w:hAnsi="宋体" w:eastAsia="宋体" w:cs="宋体"/>
                <w:i w:val="0"/>
                <w:color w:val="000000"/>
                <w:kern w:val="0"/>
                <w:sz w:val="24"/>
                <w:szCs w:val="24"/>
                <w:highlight w:val="none"/>
                <w:u w:val="none"/>
                <w:lang w:val="en-US" w:eastAsia="zh-CN" w:bidi="ar"/>
              </w:rPr>
              <w:t>”号的技术指标为重要指标。</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 xml:space="preserve">      3.加注“*”、“</w:t>
            </w:r>
            <w:r>
              <w:rPr>
                <w:rFonts w:hint="eastAsia" w:ascii="宋体" w:hAnsi="宋体" w:eastAsia="宋体" w:cs="宋体"/>
                <w:i w:val="0"/>
                <w:color w:val="000000"/>
                <w:kern w:val="0"/>
                <w:sz w:val="40"/>
                <w:szCs w:val="40"/>
                <w:highlight w:val="none"/>
                <w:u w:val="none"/>
                <w:lang w:val="en-US" w:eastAsia="zh-CN" w:bidi="ar"/>
              </w:rPr>
              <w:t>·</w:t>
            </w:r>
            <w:r>
              <w:rPr>
                <w:rFonts w:hint="eastAsia" w:ascii="宋体" w:hAnsi="宋体" w:eastAsia="宋体" w:cs="宋体"/>
                <w:i w:val="0"/>
                <w:color w:val="000000"/>
                <w:kern w:val="0"/>
                <w:sz w:val="24"/>
                <w:szCs w:val="24"/>
                <w:highlight w:val="none"/>
                <w:u w:val="none"/>
                <w:lang w:val="en-US" w:eastAsia="zh-CN" w:bidi="ar"/>
              </w:rPr>
              <w:t>”号的技术指标均需投标企业提供证明材料。</w:t>
            </w:r>
          </w:p>
        </w:tc>
      </w:tr>
    </w:tbl>
    <w:p>
      <w:pPr>
        <w:keepNext w:val="0"/>
        <w:keepLines w:val="0"/>
        <w:widowControl/>
        <w:suppressLineNumbers w:val="0"/>
        <w:jc w:val="both"/>
        <w:textAlignment w:val="center"/>
        <w:rPr>
          <w:rFonts w:hint="eastAsia" w:ascii="方正小标宋简体" w:hAnsi="方正小标宋简体" w:eastAsia="方正小标宋简体" w:cs="方正小标宋简体"/>
          <w:i w:val="0"/>
          <w:color w:val="000000"/>
          <w:kern w:val="0"/>
          <w:sz w:val="36"/>
          <w:szCs w:val="36"/>
          <w:highlight w:val="none"/>
          <w:u w:val="none"/>
          <w:lang w:val="en-US" w:eastAsia="zh-CN" w:bidi="ar"/>
        </w:rPr>
        <w:sectPr>
          <w:pgSz w:w="11906" w:h="16838"/>
          <w:pgMar w:top="1418" w:right="1134" w:bottom="1418" w:left="1418" w:header="851" w:footer="992" w:gutter="0"/>
          <w:cols w:space="720" w:num="1"/>
          <w:docGrid w:linePitch="312" w:charSpace="0"/>
        </w:sectPr>
      </w:pPr>
    </w:p>
    <w:tbl>
      <w:tblPr>
        <w:tblStyle w:val="5"/>
        <w:tblW w:w="8506" w:type="dxa"/>
        <w:tblInd w:w="0" w:type="dxa"/>
        <w:shd w:val="clear" w:color="auto" w:fill="auto"/>
        <w:tblLayout w:type="fixed"/>
        <w:tblCellMar>
          <w:top w:w="0" w:type="dxa"/>
          <w:left w:w="0" w:type="dxa"/>
          <w:bottom w:w="0" w:type="dxa"/>
          <w:right w:w="0" w:type="dxa"/>
        </w:tblCellMar>
      </w:tblPr>
      <w:tblGrid>
        <w:gridCol w:w="828"/>
        <w:gridCol w:w="2710"/>
        <w:gridCol w:w="372"/>
        <w:gridCol w:w="636"/>
        <w:gridCol w:w="769"/>
        <w:gridCol w:w="865"/>
        <w:gridCol w:w="473"/>
        <w:gridCol w:w="1853"/>
      </w:tblGrid>
      <w:tr>
        <w:tblPrEx>
          <w:tblLayout w:type="fixed"/>
          <w:tblCellMar>
            <w:top w:w="0" w:type="dxa"/>
            <w:left w:w="0" w:type="dxa"/>
            <w:bottom w:w="0" w:type="dxa"/>
            <w:right w:w="0" w:type="dxa"/>
          </w:tblCellMar>
        </w:tblPrEx>
        <w:trPr>
          <w:trHeight w:val="480" w:hRule="atLeast"/>
        </w:trPr>
        <w:tc>
          <w:tcPr>
            <w:tcW w:w="8506"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highlight w:val="none"/>
                <w:u w:val="none"/>
              </w:rPr>
            </w:pPr>
            <w:r>
              <w:rPr>
                <w:rFonts w:hint="eastAsia" w:ascii="方正小标宋简体" w:hAnsi="方正小标宋简体" w:eastAsia="方正小标宋简体" w:cs="方正小标宋简体"/>
                <w:i w:val="0"/>
                <w:color w:val="000000"/>
                <w:kern w:val="0"/>
                <w:sz w:val="36"/>
                <w:szCs w:val="36"/>
                <w:highlight w:val="none"/>
                <w:u w:val="none"/>
                <w:lang w:val="en-US" w:eastAsia="zh-CN" w:bidi="ar"/>
              </w:rPr>
              <w:t>医疗设备配套封闭耗材（非试剂类）需求表</w:t>
            </w:r>
          </w:p>
        </w:tc>
      </w:tr>
      <w:tr>
        <w:tblPrEx>
          <w:tblLayout w:type="fixed"/>
          <w:tblCellMar>
            <w:top w:w="0" w:type="dxa"/>
            <w:left w:w="0" w:type="dxa"/>
            <w:bottom w:w="0" w:type="dxa"/>
            <w:right w:w="0" w:type="dxa"/>
          </w:tblCellMar>
        </w:tblPrEx>
        <w:trPr>
          <w:trHeight w:val="93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设备名称</w:t>
            </w:r>
          </w:p>
        </w:tc>
        <w:tc>
          <w:tcPr>
            <w:tcW w:w="371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全自动化学发光免疫分析仪</w:t>
            </w: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设备项目编号：</w:t>
            </w:r>
            <w:r>
              <w:rPr>
                <w:rFonts w:hint="eastAsia" w:ascii="宋体" w:hAnsi="宋体" w:eastAsia="宋体" w:cs="宋体"/>
                <w:b/>
                <w:i w:val="0"/>
                <w:color w:val="000000"/>
                <w:kern w:val="0"/>
                <w:sz w:val="20"/>
                <w:szCs w:val="20"/>
                <w:highlight w:val="none"/>
                <w:u w:val="none"/>
                <w:lang w:val="en-US" w:eastAsia="zh-CN" w:bidi="ar"/>
              </w:rPr>
              <w:br w:type="textWrapping"/>
            </w:r>
            <w:r>
              <w:rPr>
                <w:rFonts w:hint="eastAsia" w:ascii="宋体" w:hAnsi="宋体" w:eastAsia="宋体" w:cs="宋体"/>
                <w:b/>
                <w:i w:val="0"/>
                <w:color w:val="000000"/>
                <w:kern w:val="0"/>
                <w:sz w:val="20"/>
                <w:szCs w:val="20"/>
                <w:highlight w:val="none"/>
                <w:u w:val="none"/>
                <w:lang w:val="en-US" w:eastAsia="zh-CN" w:bidi="ar"/>
              </w:rPr>
              <w:t>2022-JQ06-W3731</w:t>
            </w: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数量：1台/套</w:t>
            </w: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序号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一次性耗材名称</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简称</w:t>
            </w: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预估3年使用量</w:t>
            </w: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3538"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一、必须开展的检测治疗所使用的耗材</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highlight w:val="none"/>
                <w:u w:val="none"/>
              </w:rPr>
            </w:pP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3538"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具体使用耗材种类和用量，示例如下：</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吸头（一次性加样头）+反应杯</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140000</w:t>
            </w: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反应杯</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140000</w:t>
            </w: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清洗保养等相关试剂</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highlight w:val="none"/>
                <w:u w:val="none"/>
                <w:lang w:val="en-US"/>
              </w:rPr>
            </w:pPr>
            <w:r>
              <w:rPr>
                <w:rFonts w:hint="eastAsia" w:ascii="宋体" w:hAnsi="宋体" w:cs="宋体"/>
                <w:i w:val="0"/>
                <w:color w:val="000000"/>
                <w:kern w:val="0"/>
                <w:sz w:val="20"/>
                <w:szCs w:val="20"/>
                <w:highlight w:val="none"/>
                <w:u w:val="none"/>
                <w:lang w:val="en-US" w:eastAsia="zh-CN" w:bidi="ar"/>
              </w:rPr>
              <w:t>400L</w:t>
            </w: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26"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1470" w:hRule="atLeast"/>
        </w:trPr>
        <w:tc>
          <w:tcPr>
            <w:tcW w:w="8506" w:type="dxa"/>
            <w:gridSpan w:val="8"/>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说明：</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1、“必须开展的检测治疗所使用的耗材”是指临床已经批准并依托此设备开展的的诊疗项目配套使用的一次性耗材（投标供应商必须响应）。</w:t>
            </w:r>
          </w:p>
        </w:tc>
      </w:tr>
      <w:tr>
        <w:tblPrEx>
          <w:tblLayout w:type="fixed"/>
          <w:tblCellMar>
            <w:top w:w="0" w:type="dxa"/>
            <w:left w:w="0" w:type="dxa"/>
            <w:bottom w:w="0" w:type="dxa"/>
            <w:right w:w="0" w:type="dxa"/>
          </w:tblCellMar>
        </w:tblPrEx>
        <w:trPr>
          <w:trHeight w:val="480" w:hRule="atLeast"/>
        </w:trPr>
        <w:tc>
          <w:tcPr>
            <w:tcW w:w="8506"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highlight w:val="none"/>
                <w:u w:val="none"/>
              </w:rPr>
            </w:pPr>
            <w:r>
              <w:rPr>
                <w:rFonts w:hint="eastAsia" w:ascii="方正小标宋简体" w:hAnsi="方正小标宋简体" w:eastAsia="方正小标宋简体" w:cs="方正小标宋简体"/>
                <w:i w:val="0"/>
                <w:color w:val="000000"/>
                <w:kern w:val="0"/>
                <w:sz w:val="36"/>
                <w:szCs w:val="36"/>
                <w:highlight w:val="none"/>
                <w:u w:val="none"/>
                <w:lang w:val="en-US" w:eastAsia="zh-CN" w:bidi="ar"/>
              </w:rPr>
              <w:t>医疗设备配套试剂需求表</w:t>
            </w:r>
          </w:p>
        </w:tc>
      </w:tr>
      <w:tr>
        <w:tblPrEx>
          <w:tblLayout w:type="fixed"/>
          <w:tblCellMar>
            <w:top w:w="0" w:type="dxa"/>
            <w:left w:w="0" w:type="dxa"/>
            <w:bottom w:w="0" w:type="dxa"/>
            <w:right w:w="0" w:type="dxa"/>
          </w:tblCellMar>
        </w:tblPrEx>
        <w:trPr>
          <w:trHeight w:val="84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设备名称</w:t>
            </w:r>
          </w:p>
        </w:tc>
        <w:tc>
          <w:tcPr>
            <w:tcW w:w="4487"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全自动化学发光免疫分析仪</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设备项目编号：</w:t>
            </w:r>
            <w:r>
              <w:rPr>
                <w:rFonts w:hint="eastAsia" w:ascii="宋体" w:hAnsi="宋体" w:eastAsia="宋体" w:cs="宋体"/>
                <w:b/>
                <w:i w:val="0"/>
                <w:color w:val="000000"/>
                <w:kern w:val="0"/>
                <w:sz w:val="20"/>
                <w:szCs w:val="20"/>
                <w:highlight w:val="none"/>
                <w:u w:val="none"/>
                <w:lang w:val="en-US" w:eastAsia="zh-CN" w:bidi="ar"/>
              </w:rPr>
              <w:br w:type="textWrapping"/>
            </w:r>
            <w:r>
              <w:rPr>
                <w:rFonts w:hint="eastAsia" w:ascii="宋体" w:hAnsi="宋体" w:eastAsia="宋体" w:cs="宋体"/>
                <w:b/>
                <w:i w:val="0"/>
                <w:color w:val="000000"/>
                <w:kern w:val="0"/>
                <w:sz w:val="20"/>
                <w:szCs w:val="20"/>
                <w:highlight w:val="none"/>
                <w:u w:val="none"/>
                <w:lang w:val="en-US" w:eastAsia="zh-CN" w:bidi="ar"/>
              </w:rPr>
              <w:t>2022-JQ06-W3731</w:t>
            </w:r>
          </w:p>
        </w:tc>
        <w:tc>
          <w:tcPr>
            <w:tcW w:w="1853"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数量：1台/套</w:t>
            </w:r>
          </w:p>
        </w:tc>
      </w:tr>
      <w:tr>
        <w:tblPrEx>
          <w:tblLayout w:type="fixed"/>
          <w:tblCellMar>
            <w:top w:w="0" w:type="dxa"/>
            <w:left w:w="0" w:type="dxa"/>
            <w:bottom w:w="0" w:type="dxa"/>
            <w:right w:w="0" w:type="dxa"/>
          </w:tblCellMar>
        </w:tblPrEx>
        <w:trPr>
          <w:trHeight w:val="54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序号</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检测（治疗）项目</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简称</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预估3年使用量</w:t>
            </w:r>
            <w:r>
              <w:rPr>
                <w:rFonts w:hint="eastAsia" w:ascii="宋体" w:hAnsi="宋体" w:eastAsia="宋体" w:cs="宋体"/>
                <w:b/>
                <w:i w:val="0"/>
                <w:color w:val="000000"/>
                <w:kern w:val="0"/>
                <w:sz w:val="22"/>
                <w:szCs w:val="22"/>
                <w:highlight w:val="none"/>
                <w:u w:val="none"/>
                <w:lang w:val="en-US" w:eastAsia="zh-CN" w:bidi="ar"/>
              </w:rPr>
              <w:br w:type="textWrapping"/>
            </w:r>
            <w:r>
              <w:rPr>
                <w:rFonts w:hint="eastAsia" w:ascii="宋体" w:hAnsi="宋体" w:eastAsia="宋体" w:cs="宋体"/>
                <w:b/>
                <w:i w:val="0"/>
                <w:color w:val="000000"/>
                <w:kern w:val="0"/>
                <w:sz w:val="22"/>
                <w:szCs w:val="22"/>
                <w:highlight w:val="none"/>
                <w:u w:val="none"/>
                <w:lang w:val="en-US" w:eastAsia="zh-CN" w:bidi="ar"/>
              </w:rPr>
              <w:t>（人份/台）</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highlight w:val="none"/>
                <w:u w:val="none"/>
              </w:rPr>
            </w:pPr>
            <w:r>
              <w:rPr>
                <w:rFonts w:hint="eastAsia" w:ascii="宋体" w:hAnsi="宋体" w:eastAsia="宋体" w:cs="宋体"/>
                <w:b/>
                <w:i w:val="0"/>
                <w:color w:val="000000"/>
                <w:kern w:val="0"/>
                <w:sz w:val="22"/>
                <w:szCs w:val="22"/>
                <w:highlight w:val="none"/>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3910"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一、医疗设备开展的检测治疗项目</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highlight w:val="none"/>
                <w:u w:val="none"/>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highlight w:val="none"/>
                <w:u w:val="none"/>
              </w:rPr>
            </w:pPr>
          </w:p>
        </w:tc>
        <w:tc>
          <w:tcPr>
            <w:tcW w:w="1853"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TORCH</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53"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8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1.1</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弓形虫 IgG检测</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TOXO IgG</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2100</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lang w:val="en-US" w:eastAsia="zh-CN"/>
              </w:rPr>
            </w:pPr>
            <w:r>
              <w:rPr>
                <w:rFonts w:hint="eastAsia" w:ascii="宋体" w:hAnsi="宋体" w:cs="宋体"/>
                <w:i w:val="0"/>
                <w:color w:val="000000"/>
                <w:sz w:val="20"/>
                <w:szCs w:val="20"/>
                <w:highlight w:val="none"/>
                <w:u w:val="none"/>
                <w:lang w:val="en-US" w:eastAsia="zh-CN"/>
              </w:rPr>
              <w:t>必须检测项目</w:t>
            </w:r>
          </w:p>
        </w:tc>
      </w:tr>
      <w:tr>
        <w:tblPrEx>
          <w:tblLayout w:type="fixed"/>
          <w:tblCellMar>
            <w:top w:w="0" w:type="dxa"/>
            <w:left w:w="0" w:type="dxa"/>
            <w:bottom w:w="0" w:type="dxa"/>
            <w:right w:w="0" w:type="dxa"/>
          </w:tblCellMar>
        </w:tblPrEx>
        <w:trPr>
          <w:trHeight w:val="28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1.2</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弓形虫 IgM检测</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TOXO IgM</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2100</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cs="宋体"/>
                <w:i w:val="0"/>
                <w:color w:val="000000"/>
                <w:sz w:val="20"/>
                <w:szCs w:val="20"/>
                <w:highlight w:val="none"/>
                <w:u w:val="none"/>
                <w:lang w:val="en-US" w:eastAsia="zh-CN"/>
              </w:rPr>
              <w:t>必须检测项目</w:t>
            </w:r>
          </w:p>
        </w:tc>
      </w:tr>
      <w:tr>
        <w:tblPrEx>
          <w:tblLayout w:type="fixed"/>
          <w:tblCellMar>
            <w:top w:w="0" w:type="dxa"/>
            <w:left w:w="0" w:type="dxa"/>
            <w:bottom w:w="0" w:type="dxa"/>
            <w:right w:w="0" w:type="dxa"/>
          </w:tblCellMar>
        </w:tblPrEx>
        <w:trPr>
          <w:trHeight w:val="28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风疹 IgG检测</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Rubella IgG</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2100</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cs="宋体"/>
                <w:i w:val="0"/>
                <w:color w:val="000000"/>
                <w:sz w:val="20"/>
                <w:szCs w:val="20"/>
                <w:highlight w:val="none"/>
                <w:u w:val="none"/>
                <w:lang w:val="en-US" w:eastAsia="zh-CN"/>
              </w:rPr>
              <w:t>必须检测项目</w:t>
            </w:r>
          </w:p>
        </w:tc>
      </w:tr>
      <w:tr>
        <w:tblPrEx>
          <w:tblLayout w:type="fixed"/>
          <w:tblCellMar>
            <w:top w:w="0" w:type="dxa"/>
            <w:left w:w="0" w:type="dxa"/>
            <w:bottom w:w="0" w:type="dxa"/>
            <w:right w:w="0" w:type="dxa"/>
          </w:tblCellMar>
        </w:tblPrEx>
        <w:trPr>
          <w:trHeight w:val="28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1.4</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风疹 IgM检测</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Rubella IgM</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2100</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cs="宋体"/>
                <w:i w:val="0"/>
                <w:color w:val="000000"/>
                <w:sz w:val="20"/>
                <w:szCs w:val="20"/>
                <w:highlight w:val="none"/>
                <w:u w:val="none"/>
                <w:lang w:val="en-US" w:eastAsia="zh-CN"/>
              </w:rPr>
              <w:t>必须检测项目</w:t>
            </w:r>
          </w:p>
        </w:tc>
      </w:tr>
      <w:tr>
        <w:tblPrEx>
          <w:tblLayout w:type="fixed"/>
          <w:tblCellMar>
            <w:top w:w="0" w:type="dxa"/>
            <w:left w:w="0" w:type="dxa"/>
            <w:bottom w:w="0" w:type="dxa"/>
            <w:right w:w="0" w:type="dxa"/>
          </w:tblCellMar>
        </w:tblPrEx>
        <w:trPr>
          <w:trHeight w:val="28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巨细胞 IgG检测</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CMV IgG</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3000</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cs="宋体"/>
                <w:i w:val="0"/>
                <w:color w:val="000000"/>
                <w:sz w:val="20"/>
                <w:szCs w:val="20"/>
                <w:highlight w:val="none"/>
                <w:u w:val="none"/>
                <w:lang w:val="en-US" w:eastAsia="zh-CN"/>
              </w:rPr>
              <w:t>必须检测项目</w:t>
            </w:r>
          </w:p>
        </w:tc>
      </w:tr>
      <w:tr>
        <w:tblPrEx>
          <w:tblLayout w:type="fixed"/>
          <w:tblCellMar>
            <w:top w:w="0" w:type="dxa"/>
            <w:left w:w="0" w:type="dxa"/>
            <w:bottom w:w="0" w:type="dxa"/>
            <w:right w:w="0" w:type="dxa"/>
          </w:tblCellMar>
        </w:tblPrEx>
        <w:trPr>
          <w:trHeight w:val="28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w:t>
            </w: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巨细胞 IgM检测</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CMV IgM</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3000</w:t>
            </w:r>
          </w:p>
        </w:tc>
        <w:tc>
          <w:tcPr>
            <w:tcW w:w="1853"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cs="宋体"/>
                <w:i w:val="0"/>
                <w:color w:val="000000"/>
                <w:sz w:val="20"/>
                <w:szCs w:val="20"/>
                <w:highlight w:val="none"/>
                <w:u w:val="none"/>
                <w:lang w:val="en-US" w:eastAsia="zh-CN"/>
              </w:rPr>
              <w:t>必须检测项目</w:t>
            </w:r>
          </w:p>
        </w:tc>
      </w:tr>
      <w:tr>
        <w:tblPrEx>
          <w:tblLayout w:type="fixed"/>
          <w:tblCellMar>
            <w:top w:w="0" w:type="dxa"/>
            <w:left w:w="0" w:type="dxa"/>
            <w:bottom w:w="0" w:type="dxa"/>
            <w:right w:w="0" w:type="dxa"/>
          </w:tblCellMar>
        </w:tblPrEx>
        <w:trPr>
          <w:trHeight w:val="270" w:hRule="atLeast"/>
        </w:trPr>
        <w:tc>
          <w:tcPr>
            <w:tcW w:w="828"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53"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1470" w:hRule="atLeast"/>
        </w:trPr>
        <w:tc>
          <w:tcPr>
            <w:tcW w:w="8506" w:type="dxa"/>
            <w:gridSpan w:val="8"/>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说明：</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使用科室根据近年业务开展情况和学科规划，填报拟采购设备开展检测项目的3年使用量。</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47286"/>
    <w:rsid w:val="49D47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2023-11-16T07:41:00Z</dcterms:created>
  <dc:creator>Administrator</dc:creator>
  <cp:lastModifiedBy>Administrator</cp:lastModifiedBy>
  <dcterms:modified xsi:type="dcterms:W3CDTF">2023-11-16T07:42:49Z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