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885" w:type="dxa"/>
        <w:tblLook w:val="04A0"/>
      </w:tblPr>
      <w:tblGrid>
        <w:gridCol w:w="142"/>
        <w:gridCol w:w="567"/>
        <w:gridCol w:w="3261"/>
        <w:gridCol w:w="1011"/>
        <w:gridCol w:w="1399"/>
        <w:gridCol w:w="1559"/>
        <w:gridCol w:w="2126"/>
        <w:gridCol w:w="284"/>
      </w:tblGrid>
      <w:tr w:rsidR="004E1EE5" w:rsidRPr="004E1EE5" w:rsidTr="00CD4BC0">
        <w:trPr>
          <w:gridBefore w:val="1"/>
          <w:gridAfter w:val="1"/>
          <w:wBefore w:w="142" w:type="dxa"/>
          <w:wAfter w:w="284" w:type="dxa"/>
          <w:trHeight w:val="762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1EE5" w:rsidRPr="004E1EE5" w:rsidRDefault="004E1EE5" w:rsidP="004E1EE5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4E1EE5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医疗设备技术需求确认表</w:t>
            </w:r>
          </w:p>
        </w:tc>
      </w:tr>
      <w:tr w:rsidR="004E1EE5" w:rsidRPr="004E1EE5" w:rsidTr="00CD4BC0">
        <w:trPr>
          <w:trHeight w:val="70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EE5" w:rsidRPr="004E1EE5" w:rsidRDefault="004E1EE5" w:rsidP="00CD4BC0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EE5" w:rsidRPr="004E1EE5" w:rsidRDefault="004E1EE5" w:rsidP="00CD4BC0">
            <w:pPr>
              <w:widowControl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手术吊塔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EE5" w:rsidRPr="004E1EE5" w:rsidRDefault="004E1EE5" w:rsidP="00CD4BC0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总数量（台/套）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EE5" w:rsidRPr="004E1EE5" w:rsidRDefault="004E1EE5" w:rsidP="00CD4BC0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EE5" w:rsidRPr="004E1EE5" w:rsidRDefault="004E1EE5" w:rsidP="00CD4BC0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EE5" w:rsidRPr="004E1EE5" w:rsidRDefault="004E1EE5" w:rsidP="00CD4BC0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225</w:t>
            </w:r>
          </w:p>
        </w:tc>
      </w:tr>
    </w:tbl>
    <w:p w:rsidR="004E1EE5" w:rsidRDefault="004E1EE5" w:rsidP="00402FD1">
      <w:pPr>
        <w:spacing w:line="20" w:lineRule="exact"/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844"/>
        <w:gridCol w:w="5386"/>
        <w:gridCol w:w="2410"/>
      </w:tblGrid>
      <w:tr w:rsidR="004E1EE5" w:rsidRPr="004E1EE5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技术和性能参数名称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4E1EE5" w:rsidRPr="004E1EE5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*1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基本要求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桥式吊塔，具备干、湿分区，用于床旁设备的承载和气源、电源的集中供应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*2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资质认证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具备CE认证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需提供证书复印件即中文翻译件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技术和性能参数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·3.1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安装要求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吊顶式安装吊桥，干、湿、照明分区，横梁长度可根据场地实际情况配置，预埋基础架通过9000Nm扭矩测试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  <w:highlight w:val="yellow"/>
              </w:rPr>
              <w:t>（提供扭矩测试报告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测试报告需为第三方检测机构出具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*3.2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吊塔结构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采用上电下气分腔式气电分离标准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3.3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气体管路要求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气体管路为专业医用气管，符合EN ISO 5359标准及ISO 10993-10：2010标准，每路气管为整体式，非多段拼接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3.4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吊塔外壳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外壳材料抑菌性能符合JIS Z 2801：2010≥2.0标准（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  <w:highlight w:val="yellow"/>
              </w:rPr>
              <w:t>提供检测报告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检测报告需为第三方检测机构出具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·3.5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排气系统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箱体底板具有排气系统设计，在模拟氧气泄露流量为1L/min时，腔体内部的氧气浓度不超过25%。符合《11197-2019医用供气装置》要求，（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  <w:highlight w:val="yellow"/>
              </w:rPr>
              <w:t>需提供检测所检测报告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检测报告需为省级以上（含）医疗检测所出具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3.6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氧浓度监测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干湿区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各配置免维护氧浓度监测系统，具备声光报警功能（提供彩页证明）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·3.7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辅助照明灯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一体化内置集成分段式LED手术辅助照明灯，灯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珠数量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≥60颗，5级照度可调，模拟24小时日光、自动调节的节律照明功能（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  <w:highlight w:val="yellow"/>
              </w:rPr>
              <w:t>提供吊桥彩页及一类医疗设备备案凭证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3.8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导线收纳功能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具备监护仪导联线集线器、电源线收纳盒、泵站线缆管理器；呼吸球囊收纳器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3.9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设备不良事件情况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厂家自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报设备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近三年不良事件情况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*4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配置需求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a)干、湿区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各具备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1套柱式箱体，标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配气刹及气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刹把手，箱体具备5个以上气电安装面；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br/>
              <w:t>b)湿区具备：德标氧气≥3个、德标负压吸引≥2个、德标压缩空气≥2个（气体均含插头）、新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国标五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孔电源插座≥15个、网络接口≥4个、预留数据扩展板2个、一个层板（带抽屉）、不锈钢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药液泵架及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注射泵杆2套、吸痰管收纳盒1个、不锈钢网篮1个；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br/>
              <w:t>a)干区具备：德标氧气≥3个、德标负压吸引≥2个、德标压缩空气≥2个（气体均含插头）、新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国标五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孔电源插座≥15个、网络接口≥4个、等电位柱2个、弱电扩展板2个、层板2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各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（其中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1个带储物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抽屉）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需在“交货清单（见通用文件附件2-7）”或“配置清单（格式自拟）”中明确，并提供整体实物图片及各部分细节图片。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售后条款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1EE5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*5.1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原厂保修年限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E1EE5" w:rsidRPr="004E1EE5" w:rsidRDefault="004E1EE5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需提供书面承诺并加盖原厂或投标人公章（投标人为代理商时需同时提供原厂出具的包含售后服务内容的授权</w:t>
            </w: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文件）；</w:t>
            </w: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*5.2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零配件支持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443BB0" w:rsidRPr="004E1EE5" w:rsidRDefault="00443BB0" w:rsidP="00E20525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需提供书面承诺</w:t>
            </w: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5.3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w w:val="86"/>
                <w:kern w:val="0"/>
                <w:sz w:val="22"/>
                <w:fitText w:val="1760" w:id="-1138044416"/>
              </w:rPr>
              <w:t>零配件保证供应时</w:t>
            </w:r>
            <w:r w:rsidRPr="004E1EE5">
              <w:rPr>
                <w:rFonts w:ascii="宋体" w:eastAsia="宋体" w:hAnsi="宋体" w:cs="宋体" w:hint="eastAsia"/>
                <w:spacing w:val="67"/>
                <w:w w:val="86"/>
                <w:kern w:val="0"/>
                <w:sz w:val="22"/>
                <w:fitText w:val="1760" w:id="-1138044416"/>
              </w:rPr>
              <w:t>长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厂家自报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5.4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到位维修响应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维修到达现场时间≤0.5个工作日（京内）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br/>
              <w:t>维修到达现场时间≤3个工作日（京外）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*5.5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保修期外维修费用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提供免费保修期外的年度整机保修费用价格，提供维修工时费计算方法及价格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·5.6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w w:val="86"/>
                <w:kern w:val="0"/>
                <w:sz w:val="22"/>
                <w:fitText w:val="1760" w:id="-1138044415"/>
              </w:rPr>
              <w:t>技术支持和服务网</w:t>
            </w:r>
            <w:r w:rsidRPr="004E1EE5">
              <w:rPr>
                <w:rFonts w:ascii="宋体" w:eastAsia="宋体" w:hAnsi="宋体" w:cs="宋体" w:hint="eastAsia"/>
                <w:spacing w:val="67"/>
                <w:w w:val="86"/>
                <w:kern w:val="0"/>
                <w:sz w:val="22"/>
                <w:fitText w:val="1760" w:id="-1138044415"/>
              </w:rPr>
              <w:t>点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提供全国主要城市售后服务网点及售后人员数量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·5.7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升级与软件维护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保修期内免费升级和软件维护；保修期外，原软件维护仅收工时费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·5.8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专用工具、资料及其它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提供设备配套的维修专用工具，资料（操作手册、维修手册等）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·5.9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培训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提供使用培训和工程师原厂培训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 xml:space="preserve">5.10 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交货期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合同签订后3个月内交货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见商务要求</w:t>
            </w:r>
            <w:r w:rsidRPr="004E1E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不接受负偏离</w:t>
            </w: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43BB0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经济</w:t>
            </w:r>
          </w:p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要求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735ADD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交货地点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735ADD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北京市海淀区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43BB0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3BB0" w:rsidRPr="00443BB0" w:rsidTr="00443BB0">
        <w:trPr>
          <w:trHeight w:val="21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735ADD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付款方式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735ADD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物资到货且验收合格后付95%，合同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质量保证金付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5%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43BB0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4E1EE5" w:rsidRDefault="00443BB0" w:rsidP="00F540C4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F540C4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15台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443BB0" w:rsidRPr="00443BB0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43B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提供书面承诺</w:t>
            </w:r>
            <w:r w:rsidRPr="00443BB0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443B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不接受负偏离</w:t>
            </w:r>
          </w:p>
        </w:tc>
      </w:tr>
      <w:tr w:rsidR="00443BB0" w:rsidRPr="00443BB0" w:rsidTr="00CD4BC0">
        <w:trPr>
          <w:trHeight w:val="2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443BB0" w:rsidRPr="008D189A" w:rsidRDefault="00443BB0" w:rsidP="00443BB0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其他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投标供应商应保证使用方在使用该货物或其任合一部分时，不受第三方侵权指控。同时，投标供应商不得向第三方泄露采购机构提供的技术文件等资料。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43BB0" w:rsidRPr="00443BB0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3BB0" w:rsidRPr="004E1EE5" w:rsidTr="00CD4BC0">
        <w:trPr>
          <w:trHeight w:val="834"/>
        </w:trPr>
        <w:tc>
          <w:tcPr>
            <w:tcW w:w="10349" w:type="dxa"/>
            <w:gridSpan w:val="4"/>
            <w:shd w:val="clear" w:color="auto" w:fill="auto"/>
            <w:vAlign w:val="center"/>
            <w:hideMark/>
          </w:tcPr>
          <w:p w:rsidR="00443BB0" w:rsidRPr="00443BB0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备注：</w:t>
            </w:r>
            <w:r w:rsidRPr="00443BB0">
              <w:rPr>
                <w:rFonts w:ascii="宋体" w:eastAsia="宋体" w:hAnsi="宋体" w:cs="宋体"/>
                <w:kern w:val="0"/>
                <w:sz w:val="22"/>
              </w:rPr>
              <w:t>1.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加注“*”号的技术指标为关键指标，≥1项未达到招标文件要求，即</w:t>
            </w:r>
            <w:proofErr w:type="gramStart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做废</w:t>
            </w:r>
            <w:proofErr w:type="gramEnd"/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标处理。</w:t>
            </w: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br w:type="page"/>
            </w:r>
          </w:p>
          <w:p w:rsidR="00443BB0" w:rsidRPr="00443BB0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 w:firstLineChars="297" w:firstLine="653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t>2.加注“·”号的技术指标为重要指标。</w:t>
            </w:r>
          </w:p>
          <w:p w:rsidR="00443BB0" w:rsidRPr="004E1EE5" w:rsidRDefault="00443BB0" w:rsidP="008D189A">
            <w:pPr>
              <w:widowControl/>
              <w:adjustRightInd w:val="0"/>
              <w:snapToGrid w:val="0"/>
              <w:spacing w:line="240" w:lineRule="atLeast"/>
              <w:ind w:leftChars="-50" w:left="-105" w:rightChars="-50" w:right="-105" w:firstLineChars="297" w:firstLine="65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EE5">
              <w:rPr>
                <w:rFonts w:ascii="宋体" w:eastAsia="宋体" w:hAnsi="宋体" w:cs="宋体" w:hint="eastAsia"/>
                <w:kern w:val="0"/>
                <w:sz w:val="22"/>
              </w:rPr>
              <w:br w:type="page"/>
              <w:t>3.加注“*”、“·”号的技术指标均需投标企业提供证明材料。</w:t>
            </w:r>
          </w:p>
        </w:tc>
      </w:tr>
    </w:tbl>
    <w:p w:rsidR="003649D2" w:rsidRPr="00402FD1" w:rsidRDefault="003649D2"/>
    <w:sectPr w:rsidR="003649D2" w:rsidRPr="00402FD1" w:rsidSect="004E1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1EE5"/>
    <w:rsid w:val="000D0B40"/>
    <w:rsid w:val="00280603"/>
    <w:rsid w:val="003649D2"/>
    <w:rsid w:val="00402FD1"/>
    <w:rsid w:val="00443BB0"/>
    <w:rsid w:val="004A39F5"/>
    <w:rsid w:val="004E1EE5"/>
    <w:rsid w:val="005A4649"/>
    <w:rsid w:val="008D189A"/>
    <w:rsid w:val="00CD4BC0"/>
    <w:rsid w:val="00E2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0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284</Words>
  <Characters>1621</Characters>
  <Application>Microsoft Office Word</Application>
  <DocSecurity>0</DocSecurity>
  <Lines>13</Lines>
  <Paragraphs>3</Paragraphs>
  <ScaleCrop>false</ScaleCrop>
  <Company>惠普(中国)股份有限公司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2023-12-05T02:46:00Z</dcterms:created>
  <dcterms:modified xsi:type="dcterms:W3CDTF">2023-12-05T09:38:00Z</dcterms:modified>
</cp:coreProperties>
</file>