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ilvl w:val="0"/>
          <w:numId w:val="1"/>
        </w:numPr>
        <w:adjustRightInd w:val="0"/>
        <w:snapToGrid w:val="0"/>
        <w:spacing w:afterLines="50" w:line="560" w:lineRule="exact"/>
        <w:jc w:val="center"/>
        <w:rPr>
          <w:rFonts w:hint="eastAsia"/>
          <w:b w:val="0"/>
          <w:szCs w:val="44"/>
          <w:highlight w:val="none"/>
          <w:lang w:val="zh-CN"/>
        </w:rPr>
      </w:pPr>
      <w:bookmarkStart w:id="0" w:name="_Toc5855"/>
      <w:bookmarkStart w:id="1" w:name="_Toc130887498"/>
      <w:bookmarkStart w:id="2" w:name="_Toc132190632"/>
      <w:bookmarkStart w:id="3" w:name="_Toc112317781"/>
      <w:bookmarkStart w:id="4" w:name="_Toc24521_WPSOffice_Level1"/>
      <w:bookmarkStart w:id="5" w:name="_Toc8647"/>
      <w:bookmarkStart w:id="6" w:name="_Toc29228"/>
      <w:bookmarkStart w:id="7" w:name="_Toc127820562"/>
      <w:bookmarkStart w:id="8" w:name="_Toc128150132"/>
      <w:bookmarkStart w:id="9" w:name="_Toc128150776"/>
      <w:bookmarkStart w:id="10" w:name="_Toc130657990"/>
      <w:bookmarkStart w:id="11" w:name="_Toc128151025"/>
      <w:bookmarkStart w:id="12" w:name="_Toc12397"/>
      <w:bookmarkStart w:id="13" w:name="_Toc7404"/>
      <w:bookmarkStart w:id="14" w:name="_Toc130886997"/>
      <w:bookmarkStart w:id="15" w:name="_Toc128397968"/>
      <w:bookmarkStart w:id="16" w:name="_Toc130657536"/>
      <w:bookmarkStart w:id="17" w:name="第二部分"/>
      <w:r>
        <w:rPr>
          <w:rFonts w:hint="eastAsia"/>
          <w:b w:val="0"/>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560" w:firstLineChars="200"/>
        <w:jc w:val="left"/>
        <w:textAlignment w:val="auto"/>
        <w:outlineLvl w:val="9"/>
        <w:rPr>
          <w:rFonts w:hint="eastAsia" w:ascii="宋体" w:hAnsi="宋体"/>
          <w:bCs/>
          <w:sz w:val="28"/>
          <w:szCs w:val="28"/>
          <w:highlight w:val="none"/>
          <w:lang w:val="zh-CN"/>
        </w:rPr>
      </w:pPr>
      <w:bookmarkStart w:id="18" w:name="_Toc285612596"/>
      <w:r>
        <w:rPr>
          <w:rFonts w:hint="eastAsia" w:ascii="宋体" w:hAnsi="宋体"/>
          <w:bCs/>
          <w:sz w:val="28"/>
          <w:szCs w:val="28"/>
          <w:highlight w:val="none"/>
          <w:lang w:val="zh-CN"/>
        </w:rPr>
        <w:t>按照采购单位提供的技术要求拟制。关键性技术指标参数前标记“</w:t>
      </w:r>
      <w:r>
        <w:rPr>
          <w:rFonts w:hint="eastAsia" w:ascii="宋体" w:hAnsi="宋体"/>
          <w:bCs/>
          <w:sz w:val="28"/>
          <w:szCs w:val="28"/>
          <w:highlight w:val="none"/>
          <w:lang w:val="zh-CN" w:eastAsia="zh-CN"/>
        </w:rPr>
        <w:t>*</w:t>
      </w:r>
      <w:r>
        <w:rPr>
          <w:rFonts w:hint="eastAsia" w:ascii="宋体" w:hAnsi="宋体"/>
          <w:bCs/>
          <w:sz w:val="28"/>
          <w:szCs w:val="28"/>
          <w:highlight w:val="none"/>
          <w:lang w:val="zh-CN"/>
        </w:rPr>
        <w:t>”符号，</w:t>
      </w:r>
      <w:r>
        <w:rPr>
          <w:rFonts w:hint="eastAsia" w:ascii="宋体" w:hAnsi="宋体"/>
          <w:bCs/>
          <w:sz w:val="28"/>
          <w:szCs w:val="28"/>
          <w:highlight w:val="none"/>
          <w:lang w:val="zh-CN" w:eastAsia="zh-CN"/>
        </w:rPr>
        <w:t>重要性技术指标参数前标记</w:t>
      </w:r>
      <w:r>
        <w:rPr>
          <w:rFonts w:hint="eastAsia" w:ascii="宋体" w:hAnsi="宋体"/>
          <w:bCs/>
          <w:sz w:val="28"/>
          <w:szCs w:val="28"/>
          <w:highlight w:val="none"/>
          <w:lang w:val="zh-CN"/>
        </w:rPr>
        <w:t>“</w:t>
      </w:r>
      <w:r>
        <w:rPr>
          <w:rFonts w:hint="eastAsia" w:ascii="宋体" w:hAnsi="宋体"/>
          <w:bCs/>
          <w:sz w:val="28"/>
          <w:szCs w:val="28"/>
          <w:highlight w:val="none"/>
          <w:lang w:val="zh-CN" w:eastAsia="zh-CN"/>
        </w:rPr>
        <w:t>·</w:t>
      </w:r>
      <w:r>
        <w:rPr>
          <w:rFonts w:hint="eastAsia" w:ascii="宋体" w:hAnsi="宋体"/>
          <w:bCs/>
          <w:sz w:val="28"/>
          <w:szCs w:val="28"/>
          <w:highlight w:val="none"/>
          <w:lang w:val="zh-CN"/>
        </w:rPr>
        <w:t>”</w:t>
      </w:r>
      <w:r>
        <w:rPr>
          <w:rFonts w:hint="eastAsia" w:ascii="宋体" w:hAnsi="宋体"/>
          <w:bCs/>
          <w:sz w:val="28"/>
          <w:szCs w:val="28"/>
          <w:highlight w:val="none"/>
          <w:lang w:val="zh-CN" w:eastAsia="zh-CN"/>
        </w:rPr>
        <w:t>符号，</w:t>
      </w:r>
      <w:r>
        <w:rPr>
          <w:rFonts w:hint="eastAsia" w:ascii="宋体" w:hAnsi="宋体"/>
          <w:bCs/>
          <w:sz w:val="28"/>
          <w:szCs w:val="28"/>
          <w:highlight w:val="none"/>
          <w:lang w:val="zh-CN"/>
        </w:rPr>
        <w:t>一般性指标参数前不作标记。</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560" w:firstLineChars="200"/>
        <w:jc w:val="left"/>
        <w:textAlignment w:val="auto"/>
        <w:outlineLvl w:val="9"/>
        <w:rPr>
          <w:rFonts w:hint="eastAsia" w:ascii="黑体" w:hAnsi="黑体" w:cs="黑体"/>
          <w:b w:val="0"/>
          <w:sz w:val="28"/>
          <w:szCs w:val="28"/>
          <w:highlight w:val="none"/>
        </w:rPr>
      </w:pPr>
      <w:r>
        <w:rPr>
          <w:rFonts w:hint="eastAsia" w:ascii="宋体" w:hAnsi="宋体"/>
          <w:bCs/>
          <w:sz w:val="28"/>
          <w:szCs w:val="28"/>
          <w:highlight w:val="none"/>
          <w:lang w:val="zh-CN"/>
        </w:rPr>
        <w:t>带“</w:t>
      </w:r>
      <w:r>
        <w:rPr>
          <w:rFonts w:hint="eastAsia" w:ascii="宋体" w:hAnsi="宋体"/>
          <w:bCs/>
          <w:sz w:val="28"/>
          <w:szCs w:val="28"/>
          <w:highlight w:val="none"/>
          <w:lang w:val="zh-CN" w:eastAsia="zh-CN"/>
        </w:rPr>
        <w:t>*</w:t>
      </w:r>
      <w:r>
        <w:rPr>
          <w:rFonts w:hint="eastAsia" w:ascii="宋体" w:hAnsi="宋体"/>
          <w:bCs/>
          <w:sz w:val="28"/>
          <w:szCs w:val="28"/>
          <w:highlight w:val="none"/>
          <w:lang w:val="zh-CN"/>
        </w:rPr>
        <w:t>”</w:t>
      </w:r>
      <w:r>
        <w:rPr>
          <w:rFonts w:hint="eastAsia" w:ascii="宋体" w:hAnsi="宋体"/>
          <w:bCs/>
          <w:sz w:val="28"/>
          <w:szCs w:val="28"/>
          <w:highlight w:val="none"/>
          <w:lang w:val="zh-CN" w:eastAsia="zh-CN"/>
        </w:rPr>
        <w:t>和</w:t>
      </w:r>
      <w:r>
        <w:rPr>
          <w:rFonts w:hint="eastAsia" w:ascii="宋体" w:hAnsi="宋体"/>
          <w:bCs/>
          <w:sz w:val="28"/>
          <w:szCs w:val="28"/>
          <w:highlight w:val="none"/>
          <w:lang w:val="zh-CN"/>
        </w:rPr>
        <w:t>“</w:t>
      </w:r>
      <w:r>
        <w:rPr>
          <w:rFonts w:hint="eastAsia" w:ascii="宋体" w:hAnsi="宋体"/>
          <w:bCs/>
          <w:sz w:val="28"/>
          <w:szCs w:val="28"/>
          <w:highlight w:val="none"/>
          <w:lang w:val="zh-CN" w:eastAsia="zh-CN"/>
        </w:rPr>
        <w:t>·</w:t>
      </w:r>
      <w:r>
        <w:rPr>
          <w:rFonts w:hint="eastAsia" w:ascii="宋体" w:hAnsi="宋体"/>
          <w:bCs/>
          <w:sz w:val="28"/>
          <w:szCs w:val="28"/>
          <w:highlight w:val="none"/>
          <w:lang w:val="zh-CN"/>
        </w:rPr>
        <w:t>”条款需提供技术支持材料</w:t>
      </w:r>
      <w:r>
        <w:rPr>
          <w:rFonts w:hint="eastAsia" w:ascii="宋体" w:hAnsi="宋体"/>
          <w:bCs/>
          <w:sz w:val="28"/>
          <w:szCs w:val="28"/>
          <w:highlight w:val="none"/>
          <w:lang w:val="zh-CN" w:eastAsia="zh-CN"/>
        </w:rPr>
        <w:t>【①技术要求中明确的</w:t>
      </w:r>
      <w:r>
        <w:rPr>
          <w:rFonts w:hint="eastAsia" w:ascii="宋体" w:hAnsi="宋体"/>
          <w:bCs/>
          <w:sz w:val="28"/>
          <w:szCs w:val="28"/>
          <w:highlight w:val="none"/>
          <w:lang w:val="zh-CN"/>
        </w:rPr>
        <w:t>技术支持材料以具体项目为准</w:t>
      </w:r>
      <w:r>
        <w:rPr>
          <w:rFonts w:hint="eastAsia" w:ascii="宋体" w:hAnsi="宋体"/>
          <w:bCs/>
          <w:sz w:val="28"/>
          <w:szCs w:val="28"/>
          <w:highlight w:val="none"/>
          <w:lang w:val="zh-CN" w:eastAsia="zh-CN"/>
        </w:rPr>
        <w:t>；②未明确的</w:t>
      </w:r>
      <w:r>
        <w:rPr>
          <w:rFonts w:hint="eastAsia" w:ascii="宋体" w:hAnsi="宋体"/>
          <w:bCs/>
          <w:sz w:val="28"/>
          <w:szCs w:val="28"/>
          <w:highlight w:val="none"/>
          <w:lang w:val="zh-CN"/>
        </w:rPr>
        <w:t>技术支持材料可以从（不限于）以下支持材料选择：产品规格表、产品宣传彩页、技术白皮书、制造商官方网站发布的产品信息、说明书等或检测机构出具的检测报告等技术材料支持的</w:t>
      </w:r>
      <w:r>
        <w:rPr>
          <w:rFonts w:hint="eastAsia" w:ascii="宋体" w:hAnsi="宋体"/>
          <w:bCs/>
          <w:sz w:val="28"/>
          <w:szCs w:val="28"/>
          <w:highlight w:val="none"/>
          <w:lang w:val="zh-CN" w:eastAsia="zh-CN"/>
        </w:rPr>
        <w:t>（定制产品除外</w:t>
      </w:r>
      <w:r>
        <w:rPr>
          <w:rFonts w:hint="eastAsia" w:ascii="宋体" w:hAnsi="宋体"/>
          <w:bCs/>
          <w:sz w:val="28"/>
          <w:szCs w:val="28"/>
          <w:highlight w:val="none"/>
          <w:lang w:val="zh-CN"/>
        </w:rPr>
        <w:t>）</w:t>
      </w:r>
      <w:r>
        <w:rPr>
          <w:rFonts w:hint="eastAsia" w:ascii="宋体" w:hAnsi="宋体"/>
          <w:bCs/>
          <w:sz w:val="28"/>
          <w:szCs w:val="28"/>
          <w:highlight w:val="none"/>
          <w:lang w:val="zh-CN" w:eastAsia="zh-CN"/>
        </w:rPr>
        <w:t>；③定制产品的技术支持材料可提供响应承诺。】</w:t>
      </w:r>
      <w:bookmarkEnd w:id="18"/>
    </w:p>
    <w:tbl>
      <w:tblPr>
        <w:tblStyle w:val="44"/>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59"/>
        <w:gridCol w:w="1777"/>
        <w:gridCol w:w="5182"/>
        <w:gridCol w:w="15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80" w:hRule="atLeast"/>
        </w:trPr>
        <w:tc>
          <w:tcPr>
            <w:tcW w:w="459" w:type="pct"/>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序号</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技术和性能参数名称</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招标参数和性能要求</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4" w:hRule="atLeast"/>
        </w:trPr>
        <w:tc>
          <w:tcPr>
            <w:tcW w:w="5000" w:type="pct"/>
            <w:gridSpan w:val="4"/>
            <w:tcBorders>
              <w:top w:val="single" w:color="000000" w:sz="4" w:space="0"/>
              <w:left w:val="single" w:color="000000" w:sz="8" w:space="0"/>
              <w:bottom w:val="single" w:color="000000" w:sz="4"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sz w:val="24"/>
                <w:szCs w:val="24"/>
                <w:highlight w:val="none"/>
                <w:u w:val="none"/>
                <w:lang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948"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基本要求</w:t>
            </w:r>
          </w:p>
        </w:tc>
        <w:tc>
          <w:tcPr>
            <w:tcW w:w="2765"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用于血液成分采集，采集血小板，血浆，红细胞</w:t>
            </w:r>
          </w:p>
        </w:tc>
        <w:tc>
          <w:tcPr>
            <w:tcW w:w="827" w:type="pct"/>
            <w:tcBorders>
              <w:top w:val="single" w:color="000000" w:sz="4" w:space="0"/>
              <w:left w:val="single" w:color="000000" w:sz="4" w:space="0"/>
              <w:bottom w:val="single" w:color="000000" w:sz="4"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iCs w:val="0"/>
                <w:color w:val="000000"/>
                <w:kern w:val="0"/>
                <w:sz w:val="22"/>
                <w:szCs w:val="22"/>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76"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资质认证</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具有CFDA（NMPA)认证以</w:t>
            </w:r>
            <w:r>
              <w:rPr>
                <w:rFonts w:hint="eastAsia" w:ascii="宋体" w:hAnsi="宋体" w:eastAsia="宋体" w:cs="宋体"/>
                <w:i w:val="0"/>
                <w:iCs w:val="0"/>
                <w:color w:val="auto"/>
                <w:kern w:val="0"/>
                <w:sz w:val="22"/>
                <w:szCs w:val="22"/>
                <w:u w:val="none"/>
                <w:lang w:val="en-US" w:eastAsia="zh-CN" w:bidi="ar"/>
              </w:rPr>
              <w:t>及CE认证</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cs="宋体"/>
                <w:i w:val="0"/>
                <w:iCs w:val="0"/>
                <w:color w:val="000000"/>
                <w:kern w:val="0"/>
                <w:sz w:val="22"/>
                <w:szCs w:val="22"/>
                <w:u w:val="none"/>
                <w:lang w:val="en-US" w:eastAsia="zh-CN" w:bidi="ar"/>
              </w:rPr>
              <w:t>提供</w:t>
            </w:r>
            <w:r>
              <w:rPr>
                <w:rFonts w:hint="eastAsia" w:ascii="宋体" w:hAnsi="宋体" w:eastAsia="宋体" w:cs="宋体"/>
                <w:i w:val="0"/>
                <w:iCs w:val="0"/>
                <w:color w:val="000000"/>
                <w:kern w:val="0"/>
                <w:sz w:val="22"/>
                <w:szCs w:val="22"/>
                <w:u w:val="none"/>
                <w:lang w:val="en-US" w:eastAsia="zh-CN" w:bidi="ar"/>
              </w:rPr>
              <w:t>证书</w:t>
            </w:r>
            <w:r>
              <w:rPr>
                <w:rFonts w:hint="eastAsia" w:ascii="宋体" w:hAnsi="宋体" w:cs="宋体"/>
                <w:i w:val="0"/>
                <w:iCs w:val="0"/>
                <w:color w:val="000000"/>
                <w:kern w:val="0"/>
                <w:sz w:val="22"/>
                <w:szCs w:val="22"/>
                <w:u w:val="none"/>
                <w:lang w:val="en-US" w:eastAsia="zh-CN" w:bidi="ar"/>
              </w:rPr>
              <w:t>复印件或网页截图</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无需体现</w:t>
            </w:r>
            <w:r>
              <w:rPr>
                <w:rFonts w:hint="eastAsia" w:ascii="宋体" w:hAnsi="宋体" w:eastAsia="宋体" w:cs="宋体"/>
                <w:i w:val="0"/>
                <w:iCs w:val="0"/>
                <w:color w:val="000000"/>
                <w:kern w:val="0"/>
                <w:sz w:val="22"/>
                <w:szCs w:val="22"/>
                <w:u w:val="none"/>
                <w:lang w:val="en-US" w:eastAsia="zh-CN" w:bidi="ar"/>
              </w:rPr>
              <w:t>具体型号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技术和性能参数</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iCs w:val="0"/>
                <w:color w:val="000000"/>
                <w:sz w:val="22"/>
                <w:szCs w:val="22"/>
                <w:u w:val="none"/>
              </w:rPr>
            </w:pP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袖带压力</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具备充放气式压力袖带</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3.2</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体外循环血量</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体外循环血量≤480ml</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3.3</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采集血小板成品</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可设定采集浓缩血小板体积范围:0-600ml</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3.4</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采血速度</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采血速度≥（20-150）ml/min，可调节；实时显示当前采血速度数值</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3.5</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回输速度</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返血速度≥（20-150）ml/min，可调节；实时显示当前回输速度数值</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·3.6</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血小板采集量估算</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在安全采集血小板的前提下，估算算法可兼顾到脾释放等因素</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3.7</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抗凝血比</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抗凝血比范围1:4～1:12</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·3.8</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分离方式</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连续式分离</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·3.9</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献血反应预防</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具备将盐水预先输注给献血者扩充血容量功能</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3.10</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管路测漏</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具备空气测漏和盐水预充测漏功能</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*3.11</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白细胞混入量</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Style w:val="168"/>
                <w:lang w:val="en-US" w:eastAsia="zh-CN" w:bidi="ar"/>
              </w:rPr>
              <w:t>采集成品白细胞计数：≤1.0×10</w:t>
            </w:r>
            <w:r>
              <w:rPr>
                <w:rStyle w:val="169"/>
                <w:lang w:val="en-US" w:eastAsia="zh-CN" w:bidi="ar"/>
              </w:rPr>
              <w:t>6</w:t>
            </w:r>
            <w:r>
              <w:rPr>
                <w:rStyle w:val="168"/>
                <w:lang w:val="en-US" w:eastAsia="zh-CN" w:bidi="ar"/>
              </w:rPr>
              <w:t>个/袋，准确率≥90%。</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3.12</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操作界面</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采用触摸式彩色LED屏，全中文操作界面。</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·3.13</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采集参数调节</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采集过程中可根据献血员自身情况调整参数</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·3.14</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抗凝剂动态流速流量监测及报警</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通过重量秤监测抗凝剂的流量流速，如不符合预设值有报警提示</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3.15</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血小板保存时间</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22℃±2℃不间断震荡，可以保存5天</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·3.16</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管路灭菌方式</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辐照灭菌</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459" w:type="pct"/>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3.17</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报警及安全指标</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设备指示异常提示和安全警报声，光指示。</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2" w:hRule="atLeast"/>
        </w:trPr>
        <w:tc>
          <w:tcPr>
            <w:tcW w:w="459" w:type="pct"/>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3.18</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设备不良事件情况</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厂家自报设备三年不良事件情况</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17" w:hRule="atLeast"/>
        </w:trPr>
        <w:tc>
          <w:tcPr>
            <w:tcW w:w="459" w:type="pct"/>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配置需求</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iCs w:val="0"/>
                <w:color w:val="000000"/>
                <w:sz w:val="22"/>
                <w:szCs w:val="22"/>
                <w:u w:val="none"/>
              </w:rPr>
            </w:pP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77" w:hRule="atLeast"/>
        </w:trPr>
        <w:tc>
          <w:tcPr>
            <w:tcW w:w="459" w:type="pct"/>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4.1</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软件</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中文操作软件</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459" w:type="pct"/>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硬件</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血液成份分离机主机1台，充气式袖带1个，</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459" w:type="pct"/>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cs="宋体"/>
                <w:i w:val="0"/>
                <w:iCs w:val="0"/>
                <w:color w:val="000000"/>
                <w:kern w:val="0"/>
                <w:sz w:val="22"/>
                <w:szCs w:val="22"/>
                <w:u w:val="none"/>
                <w:lang w:val="en-US" w:eastAsia="zh-CN" w:bidi="ar"/>
              </w:rPr>
              <w:t>*5</w:t>
            </w:r>
          </w:p>
        </w:tc>
        <w:tc>
          <w:tcPr>
            <w:tcW w:w="17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配套试剂耗材</w:t>
            </w:r>
          </w:p>
        </w:tc>
        <w:tc>
          <w:tcPr>
            <w:tcW w:w="5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具体年用量详见附件</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lang w:eastAsia="zh-CN"/>
              </w:rPr>
            </w:pPr>
            <w:r>
              <w:rPr>
                <w:rFonts w:hint="eastAsia" w:ascii="宋体" w:hAnsi="宋体" w:eastAsia="宋体" w:cs="宋体"/>
                <w:i w:val="0"/>
                <w:iCs w:val="0"/>
                <w:color w:val="000000"/>
                <w:kern w:val="0"/>
                <w:sz w:val="22"/>
                <w:szCs w:val="22"/>
                <w:u w:val="none"/>
                <w:lang w:val="en-US" w:eastAsia="zh-CN" w:bidi="ar"/>
              </w:rPr>
              <w:t>按附件要求提供证明材料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7" w:hRule="atLeast"/>
        </w:trPr>
        <w:tc>
          <w:tcPr>
            <w:tcW w:w="5000" w:type="pct"/>
            <w:gridSpan w:val="4"/>
            <w:tcBorders>
              <w:top w:val="single" w:color="000000" w:sz="4" w:space="0"/>
              <w:left w:val="single" w:color="000000" w:sz="8"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sz w:val="24"/>
                <w:szCs w:val="24"/>
                <w:highlight w:val="none"/>
                <w:u w:val="none"/>
                <w:lang w:val="en-US" w:eastAsia="zh-CN"/>
              </w:rPr>
              <w:t>*商务要求(均为实质性响应条款，不接受负偏离）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7" w:hRule="atLeast"/>
        </w:trPr>
        <w:tc>
          <w:tcPr>
            <w:tcW w:w="859" w:type="dxa"/>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售后条款</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iCs w:val="0"/>
                <w:color w:val="000000"/>
                <w:sz w:val="22"/>
                <w:szCs w:val="22"/>
                <w:u w:val="none"/>
              </w:rPr>
            </w:pP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17" w:hRule="atLeast"/>
        </w:trPr>
        <w:tc>
          <w:tcPr>
            <w:tcW w:w="859" w:type="dxa"/>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*6.1</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原厂保修年限</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≥3年，保修期内开机率不低于95%（按365日/年计算，含节假日)，未达到要求的开机率天数，按双倍天数顺延保修期。</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2" w:hRule="atLeast"/>
        </w:trPr>
        <w:tc>
          <w:tcPr>
            <w:tcW w:w="859" w:type="dxa"/>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*6.2</w:t>
            </w:r>
          </w:p>
        </w:tc>
        <w:tc>
          <w:tcPr>
            <w:tcW w:w="948"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零配件支持</w:t>
            </w:r>
          </w:p>
        </w:tc>
        <w:tc>
          <w:tcPr>
            <w:tcW w:w="2765"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w:t>
            </w:r>
          </w:p>
        </w:tc>
        <w:tc>
          <w:tcPr>
            <w:tcW w:w="827" w:type="pct"/>
            <w:tcBorders>
              <w:top w:val="single" w:color="000000" w:sz="4" w:space="0"/>
              <w:left w:val="single" w:color="000000" w:sz="4" w:space="0"/>
              <w:bottom w:val="single" w:color="000000" w:sz="4"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2" w:hRule="atLeast"/>
        </w:trPr>
        <w:tc>
          <w:tcPr>
            <w:tcW w:w="859" w:type="dxa"/>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6.3</w:t>
            </w:r>
          </w:p>
        </w:tc>
        <w:tc>
          <w:tcPr>
            <w:tcW w:w="948"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零配件保证供应时长</w:t>
            </w:r>
          </w:p>
        </w:tc>
        <w:tc>
          <w:tcPr>
            <w:tcW w:w="2765"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厂家自报</w:t>
            </w:r>
          </w:p>
        </w:tc>
        <w:tc>
          <w:tcPr>
            <w:tcW w:w="827" w:type="pct"/>
            <w:tcBorders>
              <w:top w:val="single" w:color="000000" w:sz="4" w:space="0"/>
              <w:left w:val="single" w:color="000000" w:sz="4" w:space="0"/>
              <w:bottom w:val="single" w:color="000000" w:sz="4"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2" w:hRule="atLeast"/>
        </w:trPr>
        <w:tc>
          <w:tcPr>
            <w:tcW w:w="859" w:type="dxa"/>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6.4</w:t>
            </w:r>
          </w:p>
        </w:tc>
        <w:tc>
          <w:tcPr>
            <w:tcW w:w="948"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维修响应时间</w:t>
            </w:r>
          </w:p>
        </w:tc>
        <w:tc>
          <w:tcPr>
            <w:tcW w:w="2765"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维修到达现场时间≤0.5个工作日（京内）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维修到达现场时间≤3个工作日（京外）</w:t>
            </w:r>
          </w:p>
        </w:tc>
        <w:tc>
          <w:tcPr>
            <w:tcW w:w="827" w:type="pct"/>
            <w:tcBorders>
              <w:top w:val="single" w:color="000000" w:sz="4" w:space="0"/>
              <w:left w:val="single" w:color="000000" w:sz="4" w:space="0"/>
              <w:bottom w:val="single" w:color="000000" w:sz="4"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7" w:hRule="atLeast"/>
        </w:trPr>
        <w:tc>
          <w:tcPr>
            <w:tcW w:w="859" w:type="dxa"/>
            <w:tcBorders>
              <w:top w:val="single" w:color="000000" w:sz="4" w:space="0"/>
              <w:left w:val="single" w:color="000000" w:sz="8"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*6.5</w:t>
            </w:r>
          </w:p>
        </w:tc>
        <w:tc>
          <w:tcPr>
            <w:tcW w:w="948"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保修期外维修费用</w:t>
            </w:r>
          </w:p>
        </w:tc>
        <w:tc>
          <w:tcPr>
            <w:tcW w:w="2765"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提供免费保修期外的年度整机保修费用价格，提供维修工时费用计算方法及价格</w:t>
            </w:r>
          </w:p>
        </w:tc>
        <w:tc>
          <w:tcPr>
            <w:tcW w:w="827" w:type="pct"/>
            <w:tcBorders>
              <w:top w:val="single" w:color="000000" w:sz="4" w:space="0"/>
              <w:left w:val="single" w:color="000000" w:sz="4" w:space="0"/>
              <w:bottom w:val="single" w:color="000000" w:sz="4"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2" w:hRule="atLeast"/>
        </w:trPr>
        <w:tc>
          <w:tcPr>
            <w:tcW w:w="859" w:type="dxa"/>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·6.6</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技术支持及服务网点</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提供全国主要城市售后服务网点及售后人员数量</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7" w:hRule="atLeast"/>
        </w:trPr>
        <w:tc>
          <w:tcPr>
            <w:tcW w:w="859" w:type="dxa"/>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·6.7</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升级与软件维护</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保修期内免费升级和软件维护；保修期外，原软件维护仅收工时费</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2" w:hRule="atLeast"/>
        </w:trPr>
        <w:tc>
          <w:tcPr>
            <w:tcW w:w="859" w:type="dxa"/>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·6.8</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专用工具、资料及其它</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提供设备配套的维修专用工具（如有），资料（操作手册、维修手册等）</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2" w:hRule="atLeast"/>
        </w:trPr>
        <w:tc>
          <w:tcPr>
            <w:tcW w:w="859" w:type="dxa"/>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·6.9</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培训</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提供使用培训和工程师原厂培训</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7" w:hRule="atLeast"/>
        </w:trPr>
        <w:tc>
          <w:tcPr>
            <w:tcW w:w="859" w:type="dxa"/>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6.10 </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交货期</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合同签订后3个月内交货</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7" w:hRule="atLeast"/>
        </w:trPr>
        <w:tc>
          <w:tcPr>
            <w:tcW w:w="459" w:type="pct"/>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cs="宋体"/>
                <w:i w:val="0"/>
                <w:iCs w:val="0"/>
                <w:color w:val="000000"/>
                <w:kern w:val="0"/>
                <w:sz w:val="22"/>
                <w:szCs w:val="22"/>
                <w:u w:val="none"/>
                <w:lang w:val="en-US" w:eastAsia="zh-CN" w:bidi="ar"/>
              </w:rPr>
              <w:t>6.11</w:t>
            </w:r>
          </w:p>
        </w:tc>
        <w:tc>
          <w:tcPr>
            <w:tcW w:w="94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付款方式</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物资到货验收后付95%，验收满一年无质量问题付质量保证金5%。</w:t>
            </w:r>
          </w:p>
        </w:tc>
        <w:tc>
          <w:tcPr>
            <w:tcW w:w="827" w:type="pct"/>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2" w:hRule="atLeast"/>
        </w:trPr>
        <w:tc>
          <w:tcPr>
            <w:tcW w:w="5000" w:type="pct"/>
            <w:gridSpan w:val="4"/>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pStyle w:val="2"/>
              <w:jc w:val="left"/>
              <w:rPr>
                <w:rFonts w:hint="eastAsia"/>
                <w:highlight w:val="none"/>
                <w:lang w:val="en-US" w:eastAsia="zh-CN"/>
              </w:rPr>
            </w:pPr>
            <w:r>
              <w:rPr>
                <w:rFonts w:hint="eastAsia"/>
                <w:highlight w:val="none"/>
                <w:lang w:val="en-US" w:eastAsia="zh-CN"/>
              </w:rPr>
              <w:t>备注：</w:t>
            </w:r>
            <w:r>
              <w:rPr>
                <w:rFonts w:hint="default"/>
                <w:highlight w:val="none"/>
                <w:lang w:val="en-US" w:eastAsia="zh-CN"/>
              </w:rPr>
              <w:t xml:space="preserve">1. </w:t>
            </w:r>
            <w:r>
              <w:rPr>
                <w:rFonts w:hint="eastAsia"/>
                <w:highlight w:val="none"/>
                <w:lang w:val="en-US" w:eastAsia="zh-CN"/>
              </w:rPr>
              <w:t>加注“*”号的技术指标为关键指标，≥1项未达到招标文件要求，即做废标处理。</w:t>
            </w:r>
            <w:r>
              <w:rPr>
                <w:rFonts w:hint="eastAsia"/>
                <w:highlight w:val="none"/>
                <w:lang w:val="en-US" w:eastAsia="zh-CN"/>
              </w:rPr>
              <w:br w:type="textWrapping"/>
            </w:r>
            <w:r>
              <w:rPr>
                <w:rFonts w:hint="eastAsia"/>
                <w:highlight w:val="none"/>
                <w:lang w:val="en-US" w:eastAsia="zh-CN"/>
              </w:rPr>
              <w:t xml:space="preserve">      2.加注“·”号的技术指标为重要指标。</w:t>
            </w:r>
            <w:r>
              <w:rPr>
                <w:rFonts w:hint="eastAsia"/>
                <w:highlight w:val="none"/>
                <w:lang w:val="en-US" w:eastAsia="zh-CN"/>
              </w:rPr>
              <w:br w:type="textWrapping"/>
            </w:r>
            <w:r>
              <w:rPr>
                <w:rFonts w:hint="eastAsia"/>
                <w:highlight w:val="none"/>
                <w:lang w:val="en-US" w:eastAsia="zh-CN"/>
              </w:rPr>
              <w:t xml:space="preserve">      3.加注“*”、“·”号的技术指标均需投标企业提供证明材料。</w:t>
            </w:r>
          </w:p>
          <w:p>
            <w:pPr>
              <w:jc w:val="left"/>
              <w:rPr>
                <w:rFonts w:hint="eastAsia" w:ascii="宋体" w:hAnsi="宋体" w:eastAsia="宋体" w:cs="宋体"/>
                <w:i w:val="0"/>
                <w:color w:val="000000"/>
                <w:sz w:val="24"/>
                <w:szCs w:val="24"/>
                <w:highlight w:val="none"/>
                <w:u w:val="none"/>
              </w:rPr>
            </w:pPr>
            <w:r>
              <w:rPr>
                <w:rFonts w:hint="default" w:ascii="黑体" w:hAnsi="Times New Roman" w:eastAsia="黑体" w:cs="Times New Roman"/>
                <w:kern w:val="0"/>
                <w:sz w:val="20"/>
                <w:szCs w:val="20"/>
                <w:highlight w:val="none"/>
                <w:lang w:val="en-US" w:eastAsia="zh-CN" w:bidi="ar-SA"/>
              </w:rPr>
              <w:t xml:space="preserve">      4.</w:t>
            </w:r>
            <w:r>
              <w:rPr>
                <w:rFonts w:hint="eastAsia" w:ascii="黑体" w:hAnsi="Times New Roman" w:eastAsia="黑体" w:cs="Times New Roman"/>
                <w:kern w:val="0"/>
                <w:sz w:val="20"/>
                <w:szCs w:val="20"/>
                <w:highlight w:val="none"/>
                <w:lang w:val="zh-CN" w:eastAsia="zh-CN" w:bidi="ar-SA"/>
              </w:rPr>
              <w:t>“•”号项排名打分或正偏离加分以及一般指标正偏离加分时，参照上述要求提供技术支持材料，未提供的不予认可。</w:t>
            </w:r>
          </w:p>
        </w:tc>
      </w:tr>
    </w:tbl>
    <w:p>
      <w:pPr>
        <w:rPr>
          <w:rFonts w:hint="eastAsia"/>
          <w:highlight w:val="none"/>
        </w:rPr>
      </w:pPr>
    </w:p>
    <w:p>
      <w:pPr>
        <w:numPr>
          <w:ilvl w:val="0"/>
          <w:numId w:val="0"/>
        </w:numPr>
        <w:rPr>
          <w:highlight w:val="none"/>
        </w:rPr>
        <w:sectPr>
          <w:headerReference r:id="rId3" w:type="default"/>
          <w:footerReference r:id="rId4" w:type="default"/>
          <w:pgSz w:w="11906" w:h="16838"/>
          <w:pgMar w:top="1417" w:right="1134" w:bottom="1417" w:left="1417" w:header="851" w:footer="850" w:gutter="0"/>
          <w:pgNumType w:fmt="decimal"/>
          <w:cols w:space="0" w:num="1"/>
          <w:docGrid w:linePitch="312" w:charSpace="0"/>
        </w:sectPr>
      </w:pPr>
    </w:p>
    <w:tbl>
      <w:tblPr>
        <w:tblStyle w:val="44"/>
        <w:tblW w:w="9385" w:type="dxa"/>
        <w:tblInd w:w="0" w:type="dxa"/>
        <w:shd w:val="clear" w:color="auto" w:fill="auto"/>
        <w:tblLayout w:type="fixed"/>
        <w:tblCellMar>
          <w:top w:w="0" w:type="dxa"/>
          <w:left w:w="0" w:type="dxa"/>
          <w:bottom w:w="0" w:type="dxa"/>
          <w:right w:w="0" w:type="dxa"/>
        </w:tblCellMar>
      </w:tblPr>
      <w:tblGrid>
        <w:gridCol w:w="9385"/>
      </w:tblGrid>
      <w:tr>
        <w:tblPrEx>
          <w:shd w:val="clear" w:color="auto" w:fill="auto"/>
          <w:tblCellMar>
            <w:top w:w="0" w:type="dxa"/>
            <w:left w:w="0" w:type="dxa"/>
            <w:bottom w:w="0" w:type="dxa"/>
            <w:right w:w="0" w:type="dxa"/>
          </w:tblCellMar>
        </w:tblPrEx>
        <w:trPr>
          <w:trHeight w:val="90" w:hRule="atLeast"/>
        </w:trPr>
        <w:tc>
          <w:tcPr>
            <w:tcW w:w="9385" w:type="dxa"/>
            <w:tcBorders>
              <w:top w:val="nil"/>
              <w:left w:val="nil"/>
              <w:bottom w:val="nil"/>
              <w:right w:val="nil"/>
            </w:tcBorders>
            <w:shd w:val="clear" w:color="auto" w:fill="auto"/>
            <w:noWrap/>
            <w:tcMar>
              <w:top w:w="15" w:type="dxa"/>
              <w:left w:w="15" w:type="dxa"/>
              <w:right w:w="15" w:type="dxa"/>
            </w:tcMar>
            <w:vAlign w:val="center"/>
          </w:tcPr>
          <w:tbl>
            <w:tblPr>
              <w:tblStyle w:val="44"/>
              <w:tblW w:w="9355" w:type="dxa"/>
              <w:tblInd w:w="0" w:type="dxa"/>
              <w:shd w:val="clear" w:color="auto" w:fill="auto"/>
              <w:tblLayout w:type="fixed"/>
              <w:tblCellMar>
                <w:top w:w="0" w:type="dxa"/>
                <w:left w:w="0" w:type="dxa"/>
                <w:bottom w:w="0" w:type="dxa"/>
                <w:right w:w="0" w:type="dxa"/>
              </w:tblCellMar>
            </w:tblPr>
            <w:tblGrid>
              <w:gridCol w:w="1123"/>
              <w:gridCol w:w="3493"/>
              <w:gridCol w:w="1022"/>
              <w:gridCol w:w="1191"/>
              <w:gridCol w:w="2526"/>
            </w:tblGrid>
            <w:tr>
              <w:tblPrEx>
                <w:shd w:val="clear" w:color="auto" w:fill="auto"/>
                <w:tblCellMar>
                  <w:top w:w="0" w:type="dxa"/>
                  <w:left w:w="0" w:type="dxa"/>
                  <w:bottom w:w="0" w:type="dxa"/>
                  <w:right w:w="0" w:type="dxa"/>
                </w:tblCellMar>
              </w:tblPrEx>
              <w:trPr>
                <w:trHeight w:val="480" w:hRule="atLeast"/>
              </w:trPr>
              <w:tc>
                <w:tcPr>
                  <w:tcW w:w="9355" w:type="dxa"/>
                  <w:gridSpan w:val="5"/>
                  <w:tcBorders>
                    <w:top w:val="nil"/>
                    <w:left w:val="nil"/>
                    <w:bottom w:val="nil"/>
                    <w:right w:val="nil"/>
                  </w:tcBorders>
                  <w:shd w:val="clear" w:color="auto" w:fill="auto"/>
                  <w:noWrap/>
                  <w:tcMar>
                    <w:top w:w="15" w:type="dxa"/>
                    <w:left w:w="15" w:type="dxa"/>
                    <w:right w:w="15" w:type="dxa"/>
                  </w:tcMar>
                  <w:vAlign w:val="center"/>
                </w:tcPr>
                <w:p>
                  <w:pPr>
                    <w:pStyle w:val="2"/>
                    <w:jc w:val="both"/>
                    <w:rPr>
                      <w:rFonts w:hint="eastAsia" w:ascii="宋体" w:hAnsi="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附件</w:t>
                  </w:r>
                  <w:r>
                    <w:rPr>
                      <w:rFonts w:hint="eastAsia" w:ascii="宋体" w:hAnsi="宋体" w:cs="宋体"/>
                      <w:i w:val="0"/>
                      <w:color w:val="000000"/>
                      <w:kern w:val="0"/>
                      <w:sz w:val="22"/>
                      <w:szCs w:val="22"/>
                      <w:highlight w:val="none"/>
                      <w:u w:val="none"/>
                      <w:lang w:val="en-US" w:eastAsia="zh-CN" w:bidi="ar"/>
                    </w:rPr>
                    <w:t>1</w:t>
                  </w:r>
                </w:p>
                <w:p>
                  <w:pPr>
                    <w:pStyle w:val="2"/>
                    <w:jc w:val="center"/>
                    <w:rPr>
                      <w:highlight w:val="none"/>
                    </w:rPr>
                  </w:pPr>
                  <w:r>
                    <w:rPr>
                      <w:rFonts w:hint="eastAsia"/>
                      <w:highlight w:val="none"/>
                      <w:lang w:val="en-US" w:eastAsia="zh-CN"/>
                    </w:rPr>
                    <w:t>医疗设备配套封闭耗材（非试剂类）需求表</w:t>
                  </w:r>
                </w:p>
              </w:tc>
            </w:tr>
            <w:tr>
              <w:tblPrEx>
                <w:tblCellMar>
                  <w:top w:w="0" w:type="dxa"/>
                  <w:left w:w="0" w:type="dxa"/>
                  <w:bottom w:w="0" w:type="dxa"/>
                  <w:right w:w="0" w:type="dxa"/>
                </w:tblCellMar>
              </w:tblPrEx>
              <w:trPr>
                <w:trHeight w:val="878" w:hRule="atLeast"/>
              </w:trPr>
              <w:tc>
                <w:tcPr>
                  <w:tcW w:w="1123"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pStyle w:val="2"/>
                    <w:jc w:val="center"/>
                    <w:rPr>
                      <w:rFonts w:hint="eastAsia"/>
                      <w:highlight w:val="none"/>
                    </w:rPr>
                  </w:pPr>
                  <w:r>
                    <w:rPr>
                      <w:rFonts w:hint="eastAsia"/>
                      <w:highlight w:val="none"/>
                      <w:lang w:val="en-US" w:eastAsia="zh-CN"/>
                    </w:rPr>
                    <w:t>序号</w:t>
                  </w:r>
                </w:p>
              </w:tc>
              <w:tc>
                <w:tcPr>
                  <w:tcW w:w="3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jc w:val="center"/>
                    <w:rPr>
                      <w:rFonts w:hint="eastAsia"/>
                      <w:highlight w:val="none"/>
                    </w:rPr>
                  </w:pPr>
                  <w:r>
                    <w:rPr>
                      <w:rFonts w:hint="eastAsia"/>
                      <w:highlight w:val="none"/>
                      <w:lang w:val="en-US" w:eastAsia="zh-CN"/>
                    </w:rPr>
                    <w:t>一次性耗材名称</w:t>
                  </w:r>
                </w:p>
              </w:tc>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jc w:val="center"/>
                    <w:rPr>
                      <w:rFonts w:hint="eastAsia"/>
                      <w:highlight w:val="none"/>
                    </w:rPr>
                  </w:pPr>
                  <w:r>
                    <w:rPr>
                      <w:rFonts w:hint="eastAsia"/>
                      <w:highlight w:val="none"/>
                      <w:lang w:val="en-US" w:eastAsia="zh-CN"/>
                    </w:rPr>
                    <w:t>简称</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jc w:val="center"/>
                    <w:rPr>
                      <w:rFonts w:hint="eastAsia"/>
                      <w:highlight w:val="none"/>
                      <w:lang w:val="en-US" w:eastAsia="zh-CN"/>
                    </w:rPr>
                  </w:pPr>
                  <w:r>
                    <w:rPr>
                      <w:rFonts w:hint="eastAsia"/>
                      <w:highlight w:val="none"/>
                      <w:lang w:val="en-US" w:eastAsia="zh-CN"/>
                    </w:rPr>
                    <w:t>单台设备配套耗材</w:t>
                  </w:r>
                </w:p>
                <w:p>
                  <w:pPr>
                    <w:pStyle w:val="2"/>
                    <w:jc w:val="center"/>
                    <w:rPr>
                      <w:rFonts w:hint="eastAsia"/>
                      <w:highlight w:val="none"/>
                    </w:rPr>
                  </w:pPr>
                  <w:r>
                    <w:rPr>
                      <w:rFonts w:hint="eastAsia"/>
                      <w:highlight w:val="none"/>
                      <w:lang w:val="en-US" w:eastAsia="zh-CN"/>
                    </w:rPr>
                    <w:t>预估3年用量</w:t>
                  </w:r>
                </w:p>
              </w:tc>
              <w:tc>
                <w:tcPr>
                  <w:tcW w:w="2526"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pStyle w:val="2"/>
                    <w:jc w:val="center"/>
                    <w:rPr>
                      <w:rFonts w:hint="eastAsia"/>
                      <w:highlight w:val="none"/>
                    </w:rPr>
                  </w:pPr>
                  <w:r>
                    <w:rPr>
                      <w:rFonts w:hint="eastAsia"/>
                      <w:highlight w:val="none"/>
                      <w:lang w:val="en-US" w:eastAsia="zh-CN"/>
                    </w:rPr>
                    <w:t>备注</w:t>
                  </w:r>
                </w:p>
              </w:tc>
            </w:tr>
            <w:tr>
              <w:tblPrEx>
                <w:tblCellMar>
                  <w:top w:w="0" w:type="dxa"/>
                  <w:left w:w="0" w:type="dxa"/>
                  <w:bottom w:w="0" w:type="dxa"/>
                  <w:right w:w="0" w:type="dxa"/>
                </w:tblCellMar>
              </w:tblPrEx>
              <w:trPr>
                <w:trHeight w:val="558" w:hRule="atLeast"/>
              </w:trPr>
              <w:tc>
                <w:tcPr>
                  <w:tcW w:w="1123"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highlight w:val="none"/>
                    </w:rPr>
                  </w:pPr>
                  <w:r>
                    <w:rPr>
                      <w:rFonts w:hint="default" w:ascii="等线" w:hAnsi="等线" w:eastAsia="等线" w:cs="等线"/>
                      <w:i w:val="0"/>
                      <w:iCs w:val="0"/>
                      <w:color w:val="000000"/>
                      <w:kern w:val="0"/>
                      <w:sz w:val="20"/>
                      <w:szCs w:val="20"/>
                      <w:u w:val="none"/>
                      <w:lang w:val="en-US" w:eastAsia="zh-CN" w:bidi="ar"/>
                    </w:rPr>
                    <w:t>1</w:t>
                  </w:r>
                </w:p>
              </w:tc>
              <w:tc>
                <w:tcPr>
                  <w:tcW w:w="34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highlight w:val="none"/>
                    </w:rPr>
                  </w:pPr>
                  <w:r>
                    <w:rPr>
                      <w:rFonts w:hint="default" w:ascii="等线" w:hAnsi="等线" w:eastAsia="等线" w:cs="等线"/>
                      <w:i w:val="0"/>
                      <w:iCs w:val="0"/>
                      <w:color w:val="000000"/>
                      <w:kern w:val="0"/>
                      <w:sz w:val="20"/>
                      <w:szCs w:val="20"/>
                      <w:u w:val="none"/>
                      <w:lang w:val="en-US" w:eastAsia="zh-CN" w:bidi="ar"/>
                    </w:rPr>
                    <w:t>血液成分分离机配套管路</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highlight w:val="none"/>
                    </w:rPr>
                  </w:pPr>
                  <w:r>
                    <w:rPr>
                      <w:rFonts w:hint="default" w:ascii="等线" w:hAnsi="等线" w:eastAsia="等线" w:cs="等线"/>
                      <w:i w:val="0"/>
                      <w:iCs w:val="0"/>
                      <w:color w:val="000000"/>
                      <w:kern w:val="0"/>
                      <w:sz w:val="20"/>
                      <w:szCs w:val="20"/>
                      <w:u w:val="none"/>
                      <w:lang w:val="en-US" w:eastAsia="zh-CN" w:bidi="ar"/>
                    </w:rPr>
                    <w:t>无</w:t>
                  </w:r>
                </w:p>
              </w:tc>
              <w:tc>
                <w:tcPr>
                  <w:tcW w:w="11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highlight w:val="none"/>
                    </w:rPr>
                  </w:pPr>
                  <w:r>
                    <w:rPr>
                      <w:rFonts w:hint="default" w:ascii="等线" w:hAnsi="等线" w:eastAsia="等线" w:cs="等线"/>
                      <w:i w:val="0"/>
                      <w:iCs w:val="0"/>
                      <w:color w:val="000000"/>
                      <w:kern w:val="0"/>
                      <w:sz w:val="20"/>
                      <w:szCs w:val="20"/>
                      <w:u w:val="none"/>
                      <w:lang w:val="en-US" w:eastAsia="zh-CN" w:bidi="ar"/>
                    </w:rPr>
                    <w:t>1000人份</w:t>
                  </w:r>
                </w:p>
              </w:tc>
              <w:tc>
                <w:tcPr>
                  <w:tcW w:w="2526"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pStyle w:val="2"/>
                    <w:jc w:val="center"/>
                    <w:rPr>
                      <w:rFonts w:hint="eastAsia" w:eastAsia="黑体"/>
                      <w:highlight w:val="none"/>
                      <w:lang w:eastAsia="zh-CN"/>
                    </w:rPr>
                  </w:pPr>
                </w:p>
              </w:tc>
            </w:tr>
            <w:tr>
              <w:tblPrEx>
                <w:tblCellMar>
                  <w:top w:w="0" w:type="dxa"/>
                  <w:left w:w="0" w:type="dxa"/>
                  <w:bottom w:w="0" w:type="dxa"/>
                  <w:right w:w="0" w:type="dxa"/>
                </w:tblCellMar>
              </w:tblPrEx>
              <w:trPr>
                <w:trHeight w:val="1470" w:hRule="atLeast"/>
              </w:trPr>
              <w:tc>
                <w:tcPr>
                  <w:tcW w:w="9355" w:type="dxa"/>
                  <w:gridSpan w:val="5"/>
                  <w:tcBorders>
                    <w:top w:val="single" w:color="000000" w:sz="4" w:space="0"/>
                    <w:left w:val="single" w:color="000000" w:sz="8" w:space="0"/>
                    <w:bottom w:val="single" w:color="000000" w:sz="8" w:space="0"/>
                    <w:right w:val="single" w:color="000000" w:sz="4" w:space="0"/>
                  </w:tcBorders>
                  <w:shd w:val="clear" w:color="auto" w:fill="auto"/>
                  <w:tcMar>
                    <w:top w:w="15" w:type="dxa"/>
                    <w:left w:w="15" w:type="dxa"/>
                    <w:right w:w="15" w:type="dxa"/>
                  </w:tcMar>
                  <w:vAlign w:val="center"/>
                </w:tcPr>
                <w:p>
                  <w:pPr>
                    <w:pStyle w:val="2"/>
                    <w:rPr>
                      <w:rFonts w:hint="default"/>
                      <w:highlight w:val="none"/>
                      <w:lang w:val="en-US" w:eastAsia="zh-CN"/>
                    </w:rPr>
                  </w:pPr>
                  <w:r>
                    <w:rPr>
                      <w:rFonts w:hint="eastAsia"/>
                      <w:highlight w:val="none"/>
                      <w:lang w:val="en-US" w:eastAsia="zh-CN"/>
                    </w:rPr>
                    <w:t>说明：</w:t>
                  </w:r>
                  <w:r>
                    <w:rPr>
                      <w:rFonts w:hint="eastAsia"/>
                      <w:highlight w:val="none"/>
                      <w:lang w:val="en-US" w:eastAsia="zh-CN"/>
                    </w:rPr>
                    <w:br w:type="textWrapping"/>
                  </w:r>
                  <w:r>
                    <w:rPr>
                      <w:rFonts w:hint="eastAsia"/>
                      <w:highlight w:val="none"/>
                      <w:lang w:val="en-US" w:eastAsia="zh-CN"/>
                    </w:rPr>
                    <w:t>1.“必须开展的检测治疗所使用的耗材”是指临床已经批准并依托此设备开展的的诊疗项目配套使用的一次性耗材（投标供应商必须响应）。</w:t>
                  </w:r>
                </w:p>
                <w:p>
                  <w:pPr>
                    <w:pStyle w:val="2"/>
                    <w:rPr>
                      <w:rFonts w:hint="default"/>
                      <w:highlight w:val="yellow"/>
                      <w:lang w:val="en-US" w:eastAsia="zh-CN"/>
                    </w:rPr>
                  </w:pPr>
                  <w:r>
                    <w:rPr>
                      <w:rFonts w:hint="eastAsia"/>
                      <w:highlight w:val="none"/>
                      <w:lang w:val="en-US" w:eastAsia="zh-CN"/>
                    </w:rPr>
                    <w:t>2.投标供应商须按所投设备中配套耗材进行报价，此报价作为后期设备配套耗材入院依据。</w:t>
                  </w:r>
                </w:p>
              </w:tc>
            </w:tr>
          </w:tbl>
          <w:p>
            <w:pPr>
              <w:pStyle w:val="2"/>
              <w:rPr>
                <w:highlight w:val="yellow"/>
              </w:rPr>
            </w:pPr>
          </w:p>
          <w:p>
            <w:pPr>
              <w:pStyle w:val="2"/>
              <w:numPr>
                <w:ilvl w:val="0"/>
                <w:numId w:val="0"/>
              </w:numPr>
              <w:jc w:val="both"/>
              <w:rPr>
                <w:rFonts w:hint="eastAsia"/>
                <w:color w:val="auto"/>
                <w:highlight w:val="none"/>
                <w:lang w:val="en-US" w:eastAsia="zh-CN"/>
              </w:rPr>
            </w:pPr>
            <w:r>
              <w:rPr>
                <w:rFonts w:hint="eastAsia"/>
                <w:color w:val="auto"/>
                <w:highlight w:val="none"/>
                <w:lang w:val="en-US" w:eastAsia="zh-CN"/>
              </w:rPr>
              <w:t>注.1.所投产品提供的耗材按医疗器械管理的，须提供相应的医疗器械注册证或备案凭证；</w:t>
            </w:r>
          </w:p>
          <w:p>
            <w:pPr>
              <w:pStyle w:val="2"/>
              <w:numPr>
                <w:ilvl w:val="0"/>
                <w:numId w:val="0"/>
              </w:numPr>
              <w:jc w:val="both"/>
              <w:rPr>
                <w:rFonts w:hint="eastAsia"/>
                <w:color w:val="auto"/>
                <w:highlight w:val="none"/>
                <w:lang w:val="en-US" w:eastAsia="zh-CN"/>
              </w:rPr>
            </w:pPr>
            <w:r>
              <w:rPr>
                <w:rFonts w:hint="eastAsia"/>
                <w:color w:val="auto"/>
                <w:highlight w:val="none"/>
                <w:lang w:val="en-US" w:eastAsia="zh-CN"/>
              </w:rPr>
              <w:t>2.所投产品需报价人根据设备配套情况全规格型号报价；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3.耗材为解放军总医院目录内产品，须一同报价；</w:t>
            </w:r>
          </w:p>
          <w:p>
            <w:pPr>
              <w:pStyle w:val="2"/>
              <w:numPr>
                <w:ilvl w:val="0"/>
                <w:numId w:val="0"/>
              </w:numPr>
              <w:jc w:val="both"/>
              <w:rPr>
                <w:rFonts w:hint="default"/>
                <w:color w:val="auto"/>
                <w:highlight w:val="none"/>
                <w:lang w:val="en-US" w:eastAsia="zh-CN"/>
              </w:rPr>
            </w:pPr>
            <w:r>
              <w:rPr>
                <w:rFonts w:hint="default"/>
                <w:color w:val="auto"/>
                <w:highlight w:val="none"/>
                <w:lang w:val="en-US" w:eastAsia="zh-CN"/>
              </w:rPr>
              <w:t>4</w:t>
            </w:r>
            <w:r>
              <w:rPr>
                <w:rFonts w:hint="eastAsia"/>
                <w:color w:val="auto"/>
                <w:highlight w:val="none"/>
                <w:lang w:val="en-US" w:eastAsia="zh-CN"/>
              </w:rPr>
              <w:t>.有效的供应商设备和耗材以最终报价计取价格分值。</w:t>
            </w:r>
          </w:p>
          <w:p>
            <w:pPr>
              <w:pStyle w:val="2"/>
              <w:numPr>
                <w:ilvl w:val="0"/>
                <w:numId w:val="0"/>
              </w:numPr>
              <w:jc w:val="both"/>
              <w:rPr>
                <w:rFonts w:hint="eastAsia"/>
                <w:highlight w:val="none"/>
                <w:lang w:val="en-US" w:eastAsia="zh-CN"/>
              </w:rPr>
            </w:pPr>
          </w:p>
          <w:p>
            <w:pPr>
              <w:pStyle w:val="2"/>
              <w:numPr>
                <w:ilvl w:val="0"/>
                <w:numId w:val="0"/>
              </w:numPr>
              <w:jc w:val="both"/>
              <w:rPr>
                <w:rFonts w:hint="eastAsia"/>
                <w:highlight w:val="none"/>
                <w:lang w:val="en-US" w:eastAsia="zh-CN"/>
              </w:rPr>
            </w:pPr>
          </w:p>
          <w:p>
            <w:pPr>
              <w:pStyle w:val="2"/>
              <w:numPr>
                <w:ilvl w:val="0"/>
                <w:numId w:val="0"/>
              </w:numPr>
              <w:jc w:val="both"/>
              <w:rPr>
                <w:rFonts w:hint="eastAsia"/>
                <w:highlight w:val="none"/>
                <w:lang w:val="en-US" w:eastAsia="zh-CN"/>
              </w:rPr>
            </w:pPr>
          </w:p>
          <w:p>
            <w:pPr>
              <w:pStyle w:val="2"/>
              <w:numPr>
                <w:ilvl w:val="0"/>
                <w:numId w:val="0"/>
              </w:numPr>
              <w:jc w:val="both"/>
              <w:rPr>
                <w:rFonts w:hint="default"/>
                <w:highlight w:val="none"/>
                <w:lang w:val="en-US" w:eastAsia="zh-CN"/>
              </w:rPr>
            </w:pPr>
          </w:p>
        </w:tc>
      </w:tr>
      <w:tr>
        <w:tblPrEx>
          <w:tblCellMar>
            <w:top w:w="0" w:type="dxa"/>
            <w:left w:w="0" w:type="dxa"/>
            <w:bottom w:w="0" w:type="dxa"/>
            <w:right w:w="0" w:type="dxa"/>
          </w:tblCellMar>
        </w:tblPrEx>
        <w:trPr>
          <w:trHeight w:val="480" w:hRule="atLeast"/>
        </w:trPr>
        <w:tc>
          <w:tcPr>
            <w:tcW w:w="9385" w:type="dxa"/>
            <w:tcBorders>
              <w:top w:val="nil"/>
              <w:left w:val="nil"/>
              <w:bottom w:val="nil"/>
              <w:right w:val="nil"/>
            </w:tcBorders>
            <w:shd w:val="clear" w:color="auto" w:fill="auto"/>
            <w:noWrap/>
            <w:tcMar>
              <w:top w:w="15" w:type="dxa"/>
              <w:left w:w="15" w:type="dxa"/>
              <w:right w:w="15" w:type="dxa"/>
            </w:tcMar>
            <w:vAlign w:val="center"/>
          </w:tcPr>
          <w:p>
            <w:pPr>
              <w:pStyle w:val="2"/>
              <w:jc w:val="center"/>
              <w:rPr>
                <w:highlight w:val="none"/>
              </w:rPr>
            </w:pPr>
          </w:p>
        </w:tc>
      </w:tr>
      <w:tr>
        <w:tblPrEx>
          <w:tblCellMar>
            <w:top w:w="0" w:type="dxa"/>
            <w:left w:w="0" w:type="dxa"/>
            <w:bottom w:w="0" w:type="dxa"/>
            <w:right w:w="0" w:type="dxa"/>
          </w:tblCellMar>
        </w:tblPrEx>
        <w:trPr>
          <w:trHeight w:val="480" w:hRule="atLeast"/>
        </w:trPr>
        <w:tc>
          <w:tcPr>
            <w:tcW w:w="9385" w:type="dxa"/>
            <w:tcBorders>
              <w:top w:val="nil"/>
              <w:left w:val="nil"/>
              <w:bottom w:val="nil"/>
              <w:right w:val="nil"/>
            </w:tcBorders>
            <w:shd w:val="clear" w:color="auto" w:fill="auto"/>
            <w:noWrap/>
            <w:tcMar>
              <w:top w:w="15" w:type="dxa"/>
              <w:left w:w="15" w:type="dxa"/>
              <w:right w:w="15" w:type="dxa"/>
            </w:tcMar>
            <w:vAlign w:val="center"/>
          </w:tcPr>
          <w:p>
            <w:pPr>
              <w:pStyle w:val="2"/>
              <w:jc w:val="center"/>
              <w:rPr>
                <w:highlight w:val="none"/>
              </w:rPr>
            </w:pPr>
          </w:p>
        </w:tc>
      </w:tr>
      <w:bookmarkEnd w:id="17"/>
    </w:tbl>
    <w:p>
      <w:pPr>
        <w:pStyle w:val="2"/>
        <w:rPr>
          <w:highlight w:val="none"/>
        </w:rPr>
      </w:pPr>
    </w:p>
    <w:sectPr>
      <w:headerReference r:id="rId5" w:type="default"/>
      <w:footerReference r:id="rId6" w:type="default"/>
      <w:pgSz w:w="11906" w:h="16838"/>
      <w:pgMar w:top="1417" w:right="1134" w:bottom="1417" w:left="1417" w:header="851" w:footer="850"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5509"/>
        <w:tab w:val="clear" w:pos="4153"/>
      </w:tabs>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RFUMgBAACaAwAADgAAAGRycy9lMm9Eb2MueG1srVPNjtMwEL4j8Q6W&#10;79RphVAVNV3tqlqEhABp4QFcx24s+U8et0lfAN6AExfuPFefg7GTdGG57IFLMp6ZfPN93zi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m4CWOG5x45fv3y4/fl1+fiWv&#10;sz99gBrbHgI2puHOD9g75wGTWfagos1vFESwjlDnq7tySETkj9ar9brCksDafEB89vh5iJDeSm9J&#10;DhoacX3FVX56D2lsnVvyNOfvtTFlhcb9lUDMnGGZ+8gxR2nYD5OgvW/PqKfHzTfU4UWnxLxzaCzy&#10;S3MQ52A/B8cQ9aFDasvCC8LtMSGJwi1PGGGnwbiyom66XvlO/HkuXY+/1P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J7ERVDIAQAAmgMAAA4AAAAAAAAAAQAgAAAAHgEAAGRycy9lMm9Eb2Mu&#10;eG1sUEsFBgAAAAAGAAYAWQEAAFgFAAAAAA==&#10;">
              <v:fill on="f" focussize="0,0"/>
              <v:stroke on="f"/>
              <v:imagedata o:title=""/>
              <o:lock v:ext="edit" aspectratio="f"/>
              <v:textbox inset="0mm,0mm,0mm,0mm" style="mso-fit-shape-to-text:t;">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Lines="0" w:afterLines="0"/>
      <w:jc w:val="center"/>
      <w:rPr>
        <w:rFonts w:hint="eastAsia"/>
        <w:sz w:val="18"/>
      </w:rP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p>
    <w:pPr>
      <w:pStyle w:val="28"/>
      <w:spacing w:beforeLines="0" w:afterLines="0"/>
      <w:rPr>
        <w:rFonts w:hint="eastAsia"/>
        <w:sz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楷体_GB2312" w:hAnsi="华文中宋" w:eastAsia="楷体_GB2312"/>
        <w:sz w:val="21"/>
        <w:szCs w:val="21"/>
      </w:rPr>
    </w:pPr>
    <w:r>
      <w:rPr>
        <w:rFonts w:ascii="楷体_GB2312" w:hAnsi="华文中宋" w:eastAsia="楷体_GB2312"/>
        <w:sz w:val="21"/>
        <w:szCs w:val="21"/>
      </w:rPr>
      <w:t>第</w:t>
    </w:r>
    <w:r>
      <w:rPr>
        <w:rFonts w:hint="eastAsia" w:ascii="楷体_GB2312" w:hAnsi="华文中宋" w:eastAsia="楷体_GB2312"/>
        <w:sz w:val="21"/>
        <w:szCs w:val="21"/>
        <w:lang w:val="en-US" w:eastAsia="zh-CN"/>
      </w:rPr>
      <w:t>六</w:t>
    </w:r>
    <w:r>
      <w:rPr>
        <w:rFonts w:ascii="楷体_GB2312" w:hAnsi="华文中宋" w:eastAsia="楷体_GB2312"/>
        <w:sz w:val="21"/>
        <w:szCs w:val="21"/>
      </w:rPr>
      <w:t xml:space="preserve">章 </w:t>
    </w:r>
    <w:r>
      <w:rPr>
        <w:rFonts w:hint="eastAsia" w:ascii="楷体_GB2312" w:hAnsi="华文中宋" w:eastAsia="楷体_GB2312"/>
        <w:sz w:val="21"/>
        <w:szCs w:val="21"/>
        <w:lang w:val="en-US" w:eastAsia="zh-CN"/>
      </w:rPr>
      <w:t>采购项目商务和技术要求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bookmarkStart w:id="19" w:name="_GoBack"/>
    <w:bookmarkEnd w:id="1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2BDDD"/>
    <w:multiLevelType w:val="singleLevel"/>
    <w:tmpl w:val="9EC2BDDD"/>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1OWU0NzUwMWQxMzdkNTczYzE3OGY0YWIwZWNmNDEifQ=="/>
  </w:docVars>
  <w:rsids>
    <w:rsidRoot w:val="007434B4"/>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616"/>
    <w:rsid w:val="00065B10"/>
    <w:rsid w:val="000662FC"/>
    <w:rsid w:val="0006657E"/>
    <w:rsid w:val="000666F2"/>
    <w:rsid w:val="00066BCE"/>
    <w:rsid w:val="00066F09"/>
    <w:rsid w:val="0006734E"/>
    <w:rsid w:val="000675E6"/>
    <w:rsid w:val="000677C7"/>
    <w:rsid w:val="00067803"/>
    <w:rsid w:val="00067948"/>
    <w:rsid w:val="00067D0B"/>
    <w:rsid w:val="00067E7E"/>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42E"/>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343"/>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B70"/>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9A"/>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528"/>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9DC"/>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08D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5FC2"/>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69FB"/>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2BF"/>
    <w:rsid w:val="004D26FC"/>
    <w:rsid w:val="004D2734"/>
    <w:rsid w:val="004D2737"/>
    <w:rsid w:val="004D2A35"/>
    <w:rsid w:val="004D2C1C"/>
    <w:rsid w:val="004D36EF"/>
    <w:rsid w:val="004D3AD7"/>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8E4"/>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382"/>
    <w:rsid w:val="005744F6"/>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07"/>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4B99"/>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668"/>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56EB"/>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1C1B"/>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8D4"/>
    <w:rsid w:val="007C6AB3"/>
    <w:rsid w:val="007C6AD8"/>
    <w:rsid w:val="007C6ED7"/>
    <w:rsid w:val="007C732C"/>
    <w:rsid w:val="007C76F3"/>
    <w:rsid w:val="007C7DF4"/>
    <w:rsid w:val="007D0885"/>
    <w:rsid w:val="007D1565"/>
    <w:rsid w:val="007D1873"/>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2BD5"/>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03"/>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463"/>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2D7C"/>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31F5"/>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645"/>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644"/>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4C2"/>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4844"/>
    <w:rsid w:val="00D453D3"/>
    <w:rsid w:val="00D45BA9"/>
    <w:rsid w:val="00D4637C"/>
    <w:rsid w:val="00D46455"/>
    <w:rsid w:val="00D4671F"/>
    <w:rsid w:val="00D468AC"/>
    <w:rsid w:val="00D46E83"/>
    <w:rsid w:val="00D506A7"/>
    <w:rsid w:val="00D50DA5"/>
    <w:rsid w:val="00D5153C"/>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278"/>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66"/>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6AA5"/>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27E6E"/>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EE4"/>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A54"/>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0B0"/>
    <w:rsid w:val="00FF64F5"/>
    <w:rsid w:val="00FF6EA9"/>
    <w:rsid w:val="00FF6FAA"/>
    <w:rsid w:val="00FF7441"/>
    <w:rsid w:val="00FF771D"/>
    <w:rsid w:val="00FF77B0"/>
    <w:rsid w:val="00FF7D61"/>
    <w:rsid w:val="010C7639"/>
    <w:rsid w:val="01457F84"/>
    <w:rsid w:val="016859F4"/>
    <w:rsid w:val="01C963F3"/>
    <w:rsid w:val="01D61434"/>
    <w:rsid w:val="01DC50B0"/>
    <w:rsid w:val="03520734"/>
    <w:rsid w:val="038F407F"/>
    <w:rsid w:val="03916463"/>
    <w:rsid w:val="04461F7D"/>
    <w:rsid w:val="045A55DD"/>
    <w:rsid w:val="04611DA4"/>
    <w:rsid w:val="04687731"/>
    <w:rsid w:val="048B44A6"/>
    <w:rsid w:val="04BD2196"/>
    <w:rsid w:val="04C93D51"/>
    <w:rsid w:val="04D736D5"/>
    <w:rsid w:val="056137F9"/>
    <w:rsid w:val="05F52267"/>
    <w:rsid w:val="062067FE"/>
    <w:rsid w:val="0638176E"/>
    <w:rsid w:val="06414B38"/>
    <w:rsid w:val="06C5540F"/>
    <w:rsid w:val="06E35166"/>
    <w:rsid w:val="075B0BE9"/>
    <w:rsid w:val="07964368"/>
    <w:rsid w:val="079D4F37"/>
    <w:rsid w:val="07AC6736"/>
    <w:rsid w:val="07AE61F4"/>
    <w:rsid w:val="07D12DE1"/>
    <w:rsid w:val="08194D48"/>
    <w:rsid w:val="095341BC"/>
    <w:rsid w:val="09664528"/>
    <w:rsid w:val="09B71DFC"/>
    <w:rsid w:val="09FD09EE"/>
    <w:rsid w:val="0A1A5B03"/>
    <w:rsid w:val="0A2148F3"/>
    <w:rsid w:val="0AA92B46"/>
    <w:rsid w:val="0B1F03B4"/>
    <w:rsid w:val="0B3F7726"/>
    <w:rsid w:val="0B4E29BA"/>
    <w:rsid w:val="0B732DFC"/>
    <w:rsid w:val="0BAA6579"/>
    <w:rsid w:val="0BEB6F2D"/>
    <w:rsid w:val="0BEE67DF"/>
    <w:rsid w:val="0BFA364D"/>
    <w:rsid w:val="0C227EAA"/>
    <w:rsid w:val="0C5C501A"/>
    <w:rsid w:val="0C63575C"/>
    <w:rsid w:val="0CB740B0"/>
    <w:rsid w:val="0CCD4738"/>
    <w:rsid w:val="0D0108D7"/>
    <w:rsid w:val="0D6F054E"/>
    <w:rsid w:val="0D725B91"/>
    <w:rsid w:val="0D8B6CB4"/>
    <w:rsid w:val="0DA01DC9"/>
    <w:rsid w:val="0DBB0DEE"/>
    <w:rsid w:val="0DC865D5"/>
    <w:rsid w:val="0E144B5A"/>
    <w:rsid w:val="0E9A161E"/>
    <w:rsid w:val="0EA9594B"/>
    <w:rsid w:val="0EC71214"/>
    <w:rsid w:val="0FB115BC"/>
    <w:rsid w:val="10005604"/>
    <w:rsid w:val="1047034B"/>
    <w:rsid w:val="10CB408F"/>
    <w:rsid w:val="10F16C27"/>
    <w:rsid w:val="111451B1"/>
    <w:rsid w:val="11395401"/>
    <w:rsid w:val="11C17EA7"/>
    <w:rsid w:val="11D01A3A"/>
    <w:rsid w:val="12E8676D"/>
    <w:rsid w:val="136441CE"/>
    <w:rsid w:val="139B1477"/>
    <w:rsid w:val="13F52F75"/>
    <w:rsid w:val="14332AA2"/>
    <w:rsid w:val="14B46442"/>
    <w:rsid w:val="14F12F9B"/>
    <w:rsid w:val="14F65314"/>
    <w:rsid w:val="15485FCC"/>
    <w:rsid w:val="15507949"/>
    <w:rsid w:val="157955E3"/>
    <w:rsid w:val="15D849FF"/>
    <w:rsid w:val="15DE0E05"/>
    <w:rsid w:val="16355837"/>
    <w:rsid w:val="16836C8F"/>
    <w:rsid w:val="16E93A50"/>
    <w:rsid w:val="17056FA9"/>
    <w:rsid w:val="17B00787"/>
    <w:rsid w:val="17D23449"/>
    <w:rsid w:val="18001A7B"/>
    <w:rsid w:val="184B0E55"/>
    <w:rsid w:val="1856627D"/>
    <w:rsid w:val="18730A0F"/>
    <w:rsid w:val="18AB63FB"/>
    <w:rsid w:val="19734677"/>
    <w:rsid w:val="19794E78"/>
    <w:rsid w:val="199724DC"/>
    <w:rsid w:val="19C43469"/>
    <w:rsid w:val="1A811669"/>
    <w:rsid w:val="1AB561B1"/>
    <w:rsid w:val="1B1D15CE"/>
    <w:rsid w:val="1B23014C"/>
    <w:rsid w:val="1C031BE5"/>
    <w:rsid w:val="1C0E2F29"/>
    <w:rsid w:val="1C24556B"/>
    <w:rsid w:val="1CE43C8A"/>
    <w:rsid w:val="1D3733E7"/>
    <w:rsid w:val="1DBF52AC"/>
    <w:rsid w:val="1DC03D5A"/>
    <w:rsid w:val="1DD3548B"/>
    <w:rsid w:val="1DED21D8"/>
    <w:rsid w:val="1EBF49AE"/>
    <w:rsid w:val="1F0E3DA5"/>
    <w:rsid w:val="1F45252C"/>
    <w:rsid w:val="1FB931AC"/>
    <w:rsid w:val="1FCD7603"/>
    <w:rsid w:val="204136C0"/>
    <w:rsid w:val="204234FD"/>
    <w:rsid w:val="208D2D81"/>
    <w:rsid w:val="20AD68C5"/>
    <w:rsid w:val="20C55B80"/>
    <w:rsid w:val="20CE49AC"/>
    <w:rsid w:val="21EA3909"/>
    <w:rsid w:val="22143D06"/>
    <w:rsid w:val="223C6F1A"/>
    <w:rsid w:val="224B606F"/>
    <w:rsid w:val="22F75C0D"/>
    <w:rsid w:val="23450185"/>
    <w:rsid w:val="23712E8E"/>
    <w:rsid w:val="24252315"/>
    <w:rsid w:val="24781977"/>
    <w:rsid w:val="248F4E23"/>
    <w:rsid w:val="249B4BA3"/>
    <w:rsid w:val="25114177"/>
    <w:rsid w:val="255D5E59"/>
    <w:rsid w:val="25965C4A"/>
    <w:rsid w:val="25DA7C6D"/>
    <w:rsid w:val="2601765A"/>
    <w:rsid w:val="267F67D1"/>
    <w:rsid w:val="26AD6663"/>
    <w:rsid w:val="26EB6659"/>
    <w:rsid w:val="276932A2"/>
    <w:rsid w:val="277E3593"/>
    <w:rsid w:val="278E6867"/>
    <w:rsid w:val="279D6C56"/>
    <w:rsid w:val="281178FD"/>
    <w:rsid w:val="28332D0A"/>
    <w:rsid w:val="283347A9"/>
    <w:rsid w:val="289522DC"/>
    <w:rsid w:val="28E8098A"/>
    <w:rsid w:val="28F85985"/>
    <w:rsid w:val="290F7096"/>
    <w:rsid w:val="29983F45"/>
    <w:rsid w:val="2A5C7F90"/>
    <w:rsid w:val="2AA24BD1"/>
    <w:rsid w:val="2AD20E52"/>
    <w:rsid w:val="2ADE5173"/>
    <w:rsid w:val="2B1967E5"/>
    <w:rsid w:val="2B91636A"/>
    <w:rsid w:val="2BAF56D3"/>
    <w:rsid w:val="2C3D0F42"/>
    <w:rsid w:val="2C7F7652"/>
    <w:rsid w:val="2D177764"/>
    <w:rsid w:val="2D2F28DA"/>
    <w:rsid w:val="2D5A4C55"/>
    <w:rsid w:val="2E362DFD"/>
    <w:rsid w:val="2E8B42EF"/>
    <w:rsid w:val="2E9327AA"/>
    <w:rsid w:val="2F6B4D97"/>
    <w:rsid w:val="2F7013AD"/>
    <w:rsid w:val="2FDE4A6E"/>
    <w:rsid w:val="2FF31239"/>
    <w:rsid w:val="2FFB511A"/>
    <w:rsid w:val="30123F35"/>
    <w:rsid w:val="301D46EF"/>
    <w:rsid w:val="301F4AC5"/>
    <w:rsid w:val="30286A6E"/>
    <w:rsid w:val="30532B78"/>
    <w:rsid w:val="305D16B7"/>
    <w:rsid w:val="308257C0"/>
    <w:rsid w:val="3157022F"/>
    <w:rsid w:val="31EA6FC6"/>
    <w:rsid w:val="321708DA"/>
    <w:rsid w:val="32433D6A"/>
    <w:rsid w:val="32AF5D7F"/>
    <w:rsid w:val="33654C87"/>
    <w:rsid w:val="336F74D3"/>
    <w:rsid w:val="33CF762A"/>
    <w:rsid w:val="34C43ADF"/>
    <w:rsid w:val="34F9702C"/>
    <w:rsid w:val="35234492"/>
    <w:rsid w:val="352658CA"/>
    <w:rsid w:val="35460AE9"/>
    <w:rsid w:val="354B123B"/>
    <w:rsid w:val="355235E6"/>
    <w:rsid w:val="35541A83"/>
    <w:rsid w:val="35C91DF7"/>
    <w:rsid w:val="361F1F7B"/>
    <w:rsid w:val="367A4403"/>
    <w:rsid w:val="37215A4D"/>
    <w:rsid w:val="372907BF"/>
    <w:rsid w:val="372D496B"/>
    <w:rsid w:val="37C2536E"/>
    <w:rsid w:val="38194CD8"/>
    <w:rsid w:val="38C26B8B"/>
    <w:rsid w:val="39151A6B"/>
    <w:rsid w:val="394E3479"/>
    <w:rsid w:val="39C93726"/>
    <w:rsid w:val="39E9692C"/>
    <w:rsid w:val="3A116D8F"/>
    <w:rsid w:val="3A2F2590"/>
    <w:rsid w:val="3A737EDA"/>
    <w:rsid w:val="3A98180C"/>
    <w:rsid w:val="3B0B1CD3"/>
    <w:rsid w:val="3B267225"/>
    <w:rsid w:val="3BC0272D"/>
    <w:rsid w:val="3BF577D5"/>
    <w:rsid w:val="3BFE2290"/>
    <w:rsid w:val="3C2679C3"/>
    <w:rsid w:val="3C8B022B"/>
    <w:rsid w:val="3C8D1213"/>
    <w:rsid w:val="3CCC6301"/>
    <w:rsid w:val="3D1D2E2F"/>
    <w:rsid w:val="3D211BF7"/>
    <w:rsid w:val="3DB03FCF"/>
    <w:rsid w:val="3F4B03B7"/>
    <w:rsid w:val="3FA70C42"/>
    <w:rsid w:val="40174A30"/>
    <w:rsid w:val="401D4E59"/>
    <w:rsid w:val="4065796E"/>
    <w:rsid w:val="40930E70"/>
    <w:rsid w:val="40DD379C"/>
    <w:rsid w:val="40F97159"/>
    <w:rsid w:val="41294305"/>
    <w:rsid w:val="41335680"/>
    <w:rsid w:val="417B705C"/>
    <w:rsid w:val="42B9463A"/>
    <w:rsid w:val="42C817D4"/>
    <w:rsid w:val="43805C0B"/>
    <w:rsid w:val="43913633"/>
    <w:rsid w:val="44213F6B"/>
    <w:rsid w:val="447A578E"/>
    <w:rsid w:val="44E67CEF"/>
    <w:rsid w:val="46623CEE"/>
    <w:rsid w:val="46B13A3A"/>
    <w:rsid w:val="46E93826"/>
    <w:rsid w:val="475D7356"/>
    <w:rsid w:val="47D204E7"/>
    <w:rsid w:val="48A40123"/>
    <w:rsid w:val="49137521"/>
    <w:rsid w:val="497007F8"/>
    <w:rsid w:val="498D67EF"/>
    <w:rsid w:val="49A90785"/>
    <w:rsid w:val="49CA32E3"/>
    <w:rsid w:val="49E2423F"/>
    <w:rsid w:val="4A7364C9"/>
    <w:rsid w:val="4ABB2A95"/>
    <w:rsid w:val="4B3C2D5F"/>
    <w:rsid w:val="4B6F0F36"/>
    <w:rsid w:val="4B906536"/>
    <w:rsid w:val="4C104E92"/>
    <w:rsid w:val="4C920651"/>
    <w:rsid w:val="4CB01703"/>
    <w:rsid w:val="4DA22CF1"/>
    <w:rsid w:val="4E21448E"/>
    <w:rsid w:val="4EB2424D"/>
    <w:rsid w:val="4ED02ABC"/>
    <w:rsid w:val="4F786330"/>
    <w:rsid w:val="4F850B34"/>
    <w:rsid w:val="4F952A3E"/>
    <w:rsid w:val="4FF0207D"/>
    <w:rsid w:val="5004130D"/>
    <w:rsid w:val="501B322F"/>
    <w:rsid w:val="50475D4D"/>
    <w:rsid w:val="504812C4"/>
    <w:rsid w:val="50EB3122"/>
    <w:rsid w:val="515B7CB7"/>
    <w:rsid w:val="51636D17"/>
    <w:rsid w:val="518A6447"/>
    <w:rsid w:val="52FB4980"/>
    <w:rsid w:val="53206B42"/>
    <w:rsid w:val="53B316E5"/>
    <w:rsid w:val="5482448B"/>
    <w:rsid w:val="54866C31"/>
    <w:rsid w:val="54A52428"/>
    <w:rsid w:val="54D47C04"/>
    <w:rsid w:val="55120D38"/>
    <w:rsid w:val="55C45A9E"/>
    <w:rsid w:val="55DD106E"/>
    <w:rsid w:val="57082508"/>
    <w:rsid w:val="571921A6"/>
    <w:rsid w:val="57967DEC"/>
    <w:rsid w:val="57F877CD"/>
    <w:rsid w:val="583B6311"/>
    <w:rsid w:val="585711D8"/>
    <w:rsid w:val="58761C33"/>
    <w:rsid w:val="5893260B"/>
    <w:rsid w:val="598857F5"/>
    <w:rsid w:val="5A1C1B3E"/>
    <w:rsid w:val="5A4E03B9"/>
    <w:rsid w:val="5B527B7E"/>
    <w:rsid w:val="5B9A423C"/>
    <w:rsid w:val="5CAC34CD"/>
    <w:rsid w:val="5D254C84"/>
    <w:rsid w:val="5D6C6C8A"/>
    <w:rsid w:val="5E201C96"/>
    <w:rsid w:val="5E6145A8"/>
    <w:rsid w:val="5ED209B4"/>
    <w:rsid w:val="5ED93F33"/>
    <w:rsid w:val="5F49114F"/>
    <w:rsid w:val="608B7476"/>
    <w:rsid w:val="60BD055D"/>
    <w:rsid w:val="60E55162"/>
    <w:rsid w:val="61285F53"/>
    <w:rsid w:val="6194510C"/>
    <w:rsid w:val="61A66D2D"/>
    <w:rsid w:val="621B4377"/>
    <w:rsid w:val="6235591B"/>
    <w:rsid w:val="62532AF1"/>
    <w:rsid w:val="631B2E02"/>
    <w:rsid w:val="646031C3"/>
    <w:rsid w:val="64837CD1"/>
    <w:rsid w:val="64883848"/>
    <w:rsid w:val="648F075F"/>
    <w:rsid w:val="65040DC9"/>
    <w:rsid w:val="6562503C"/>
    <w:rsid w:val="66091A2E"/>
    <w:rsid w:val="660965B0"/>
    <w:rsid w:val="665C0F7C"/>
    <w:rsid w:val="667542AF"/>
    <w:rsid w:val="66DE4118"/>
    <w:rsid w:val="670A28B4"/>
    <w:rsid w:val="672F1572"/>
    <w:rsid w:val="6739419F"/>
    <w:rsid w:val="67785BE9"/>
    <w:rsid w:val="67CA033E"/>
    <w:rsid w:val="67E54135"/>
    <w:rsid w:val="67F74AE6"/>
    <w:rsid w:val="680C1784"/>
    <w:rsid w:val="68743DBC"/>
    <w:rsid w:val="687716F6"/>
    <w:rsid w:val="69BB3E0B"/>
    <w:rsid w:val="69FF1F25"/>
    <w:rsid w:val="6A447E53"/>
    <w:rsid w:val="6AAA2F07"/>
    <w:rsid w:val="6AC975E8"/>
    <w:rsid w:val="6B4D7069"/>
    <w:rsid w:val="6B89470E"/>
    <w:rsid w:val="6BA53D24"/>
    <w:rsid w:val="6C005144"/>
    <w:rsid w:val="6C040369"/>
    <w:rsid w:val="6CDC65FE"/>
    <w:rsid w:val="6D346FC3"/>
    <w:rsid w:val="6DF34A18"/>
    <w:rsid w:val="6E146BD3"/>
    <w:rsid w:val="6E5B6CCE"/>
    <w:rsid w:val="6E745FB9"/>
    <w:rsid w:val="6E9323E7"/>
    <w:rsid w:val="6ED80D5B"/>
    <w:rsid w:val="6F921FFF"/>
    <w:rsid w:val="6FF95B83"/>
    <w:rsid w:val="70351D8D"/>
    <w:rsid w:val="7067602C"/>
    <w:rsid w:val="706933FF"/>
    <w:rsid w:val="70942ED4"/>
    <w:rsid w:val="70983B3A"/>
    <w:rsid w:val="70E263F2"/>
    <w:rsid w:val="7142320C"/>
    <w:rsid w:val="71431EA2"/>
    <w:rsid w:val="71766C43"/>
    <w:rsid w:val="719D75F4"/>
    <w:rsid w:val="71D47E11"/>
    <w:rsid w:val="71E3648E"/>
    <w:rsid w:val="71F9675B"/>
    <w:rsid w:val="724450EA"/>
    <w:rsid w:val="72B906F0"/>
    <w:rsid w:val="72FB75C1"/>
    <w:rsid w:val="730218E9"/>
    <w:rsid w:val="73072696"/>
    <w:rsid w:val="731E6A3C"/>
    <w:rsid w:val="73BC0AEF"/>
    <w:rsid w:val="73CB1910"/>
    <w:rsid w:val="74631DE9"/>
    <w:rsid w:val="74796A2A"/>
    <w:rsid w:val="74DB6895"/>
    <w:rsid w:val="754C43EF"/>
    <w:rsid w:val="758F3DCE"/>
    <w:rsid w:val="75A53FD5"/>
    <w:rsid w:val="75E21EF3"/>
    <w:rsid w:val="76742AFE"/>
    <w:rsid w:val="768974AA"/>
    <w:rsid w:val="7697188D"/>
    <w:rsid w:val="76FE1A22"/>
    <w:rsid w:val="773C13D0"/>
    <w:rsid w:val="774A5A88"/>
    <w:rsid w:val="78034139"/>
    <w:rsid w:val="781E4E38"/>
    <w:rsid w:val="782B1B38"/>
    <w:rsid w:val="78536B31"/>
    <w:rsid w:val="78C642A1"/>
    <w:rsid w:val="78E84F71"/>
    <w:rsid w:val="79172916"/>
    <w:rsid w:val="7950227E"/>
    <w:rsid w:val="79691867"/>
    <w:rsid w:val="79EB6A00"/>
    <w:rsid w:val="79ED48C6"/>
    <w:rsid w:val="7A63452D"/>
    <w:rsid w:val="7A8C5157"/>
    <w:rsid w:val="7A982DC0"/>
    <w:rsid w:val="7ACB7EFF"/>
    <w:rsid w:val="7AD17096"/>
    <w:rsid w:val="7B0C05E9"/>
    <w:rsid w:val="7B2D5522"/>
    <w:rsid w:val="7B720D51"/>
    <w:rsid w:val="7BEF3783"/>
    <w:rsid w:val="7BEF74D5"/>
    <w:rsid w:val="7C1903CF"/>
    <w:rsid w:val="7C5424EB"/>
    <w:rsid w:val="7C7C0177"/>
    <w:rsid w:val="7CE80AE0"/>
    <w:rsid w:val="7DF66E26"/>
    <w:rsid w:val="7E1305AC"/>
    <w:rsid w:val="7E2A60D5"/>
    <w:rsid w:val="7FFE5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0"/>
    <w:pPr>
      <w:keepNext/>
      <w:jc w:val="center"/>
      <w:outlineLvl w:val="0"/>
    </w:pPr>
    <w:rPr>
      <w:bCs/>
      <w:sz w:val="44"/>
      <w:szCs w:val="20"/>
    </w:rPr>
  </w:style>
  <w:style w:type="paragraph" w:styleId="4">
    <w:name w:val="heading 2"/>
    <w:basedOn w:val="1"/>
    <w:next w:val="1"/>
    <w:link w:val="53"/>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4"/>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5"/>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6"/>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7"/>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8"/>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9"/>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60"/>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4"/>
    <w:semiHidden/>
    <w:qFormat/>
    <w:uiPriority w:val="0"/>
    <w:pPr>
      <w:shd w:val="clear" w:color="auto" w:fill="000080"/>
    </w:pPr>
  </w:style>
  <w:style w:type="paragraph" w:styleId="15">
    <w:name w:val="annotation text"/>
    <w:basedOn w:val="1"/>
    <w:link w:val="68"/>
    <w:qFormat/>
    <w:uiPriority w:val="0"/>
    <w:pPr>
      <w:jc w:val="left"/>
    </w:pPr>
  </w:style>
  <w:style w:type="paragraph" w:styleId="16">
    <w:name w:val="Salutation"/>
    <w:basedOn w:val="1"/>
    <w:next w:val="1"/>
    <w:link w:val="73"/>
    <w:qFormat/>
    <w:uiPriority w:val="0"/>
    <w:rPr>
      <w:rFonts w:ascii="仿宋_GB2312" w:eastAsia="仿宋_GB2312"/>
      <w:sz w:val="24"/>
    </w:rPr>
  </w:style>
  <w:style w:type="paragraph" w:styleId="17">
    <w:name w:val="Body Text"/>
    <w:basedOn w:val="1"/>
    <w:next w:val="1"/>
    <w:link w:val="62"/>
    <w:qFormat/>
    <w:uiPriority w:val="99"/>
    <w:pPr>
      <w:spacing w:after="120"/>
    </w:pPr>
  </w:style>
  <w:style w:type="paragraph" w:styleId="18">
    <w:name w:val="Body Text Indent"/>
    <w:basedOn w:val="1"/>
    <w:next w:val="19"/>
    <w:link w:val="65"/>
    <w:qFormat/>
    <w:uiPriority w:val="0"/>
    <w:pPr>
      <w:spacing w:after="120"/>
      <w:ind w:left="420" w:leftChars="200"/>
    </w:pPr>
  </w:style>
  <w:style w:type="paragraph" w:styleId="19">
    <w:name w:val="envelope return"/>
    <w:basedOn w:val="1"/>
    <w:qFormat/>
    <w:uiPriority w:val="99"/>
    <w:pPr>
      <w:snapToGrid w:val="0"/>
    </w:pPr>
    <w:rPr>
      <w:rFonts w:ascii="Arial" w:hAnsi="Arial" w:cs="Arial"/>
    </w:rPr>
  </w:style>
  <w:style w:type="paragraph" w:styleId="20">
    <w:name w:val="Block Text"/>
    <w:basedOn w:val="1"/>
    <w:qFormat/>
    <w:uiPriority w:val="0"/>
    <w:pPr>
      <w:ind w:left="1171" w:right="91" w:hanging="1080"/>
    </w:pPr>
    <w:rPr>
      <w:rFonts w:eastAsia="楷体_GB2312"/>
      <w:szCs w:val="20"/>
    </w:rPr>
  </w:style>
  <w:style w:type="paragraph" w:styleId="21">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2">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3">
    <w:name w:val="Plain Text"/>
    <w:basedOn w:val="1"/>
    <w:link w:val="67"/>
    <w:qFormat/>
    <w:uiPriority w:val="0"/>
    <w:rPr>
      <w:rFonts w:ascii="宋体" w:hAnsi="Courier New" w:cs="Courier New"/>
      <w:szCs w:val="21"/>
    </w:rPr>
  </w:style>
  <w:style w:type="paragraph" w:styleId="2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5">
    <w:name w:val="Date"/>
    <w:basedOn w:val="1"/>
    <w:next w:val="1"/>
    <w:link w:val="78"/>
    <w:qFormat/>
    <w:uiPriority w:val="0"/>
    <w:rPr>
      <w:sz w:val="24"/>
      <w:szCs w:val="20"/>
    </w:rPr>
  </w:style>
  <w:style w:type="paragraph" w:styleId="26">
    <w:name w:val="Body Text Indent 2"/>
    <w:basedOn w:val="1"/>
    <w:link w:val="75"/>
    <w:qFormat/>
    <w:uiPriority w:val="0"/>
    <w:pPr>
      <w:spacing w:after="120" w:line="480" w:lineRule="auto"/>
      <w:ind w:left="420" w:leftChars="200"/>
    </w:pPr>
  </w:style>
  <w:style w:type="paragraph" w:styleId="27">
    <w:name w:val="Balloon Text"/>
    <w:basedOn w:val="1"/>
    <w:link w:val="91"/>
    <w:qFormat/>
    <w:uiPriority w:val="0"/>
    <w:rPr>
      <w:sz w:val="18"/>
      <w:szCs w:val="18"/>
    </w:rPr>
  </w:style>
  <w:style w:type="paragraph" w:styleId="28">
    <w:name w:val="footer"/>
    <w:basedOn w:val="1"/>
    <w:link w:val="63"/>
    <w:qFormat/>
    <w:uiPriority w:val="99"/>
    <w:pPr>
      <w:tabs>
        <w:tab w:val="center" w:pos="4153"/>
        <w:tab w:val="right" w:pos="8306"/>
      </w:tabs>
      <w:snapToGrid w:val="0"/>
      <w:jc w:val="left"/>
    </w:pPr>
    <w:rPr>
      <w:sz w:val="18"/>
      <w:szCs w:val="18"/>
    </w:rPr>
  </w:style>
  <w:style w:type="paragraph" w:styleId="29">
    <w:name w:val="header"/>
    <w:basedOn w:val="1"/>
    <w:link w:val="64"/>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spacing w:line="360" w:lineRule="auto"/>
    </w:pPr>
    <w:rPr>
      <w:rFonts w:eastAsia="黑体" w:asciiTheme="minorEastAsia" w:hAnsiTheme="minorEastAsia"/>
      <w:b/>
      <w:sz w:val="32"/>
      <w:szCs w:val="21"/>
    </w:rPr>
  </w:style>
  <w:style w:type="paragraph" w:styleId="31">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2">
    <w:name w:val="Subtitle"/>
    <w:basedOn w:val="1"/>
    <w:next w:val="1"/>
    <w:link w:val="144"/>
    <w:qFormat/>
    <w:uiPriority w:val="0"/>
    <w:pPr>
      <w:spacing w:before="240" w:after="60" w:line="312" w:lineRule="auto"/>
      <w:jc w:val="center"/>
      <w:outlineLvl w:val="1"/>
    </w:pPr>
    <w:rPr>
      <w:rFonts w:ascii="等线 Light" w:hAnsi="等线 Light"/>
      <w:b/>
      <w:bCs/>
      <w:kern w:val="28"/>
      <w:sz w:val="32"/>
      <w:szCs w:val="32"/>
    </w:rPr>
  </w:style>
  <w:style w:type="paragraph" w:styleId="33">
    <w:name w:val="toc 6"/>
    <w:basedOn w:val="1"/>
    <w:next w:val="1"/>
    <w:qFormat/>
    <w:uiPriority w:val="39"/>
    <w:pPr>
      <w:ind w:left="2100"/>
    </w:pPr>
    <w:rPr>
      <w:szCs w:val="20"/>
    </w:rPr>
  </w:style>
  <w:style w:type="paragraph" w:styleId="34">
    <w:name w:val="Body Text Indent 3"/>
    <w:basedOn w:val="1"/>
    <w:link w:val="77"/>
    <w:qFormat/>
    <w:uiPriority w:val="0"/>
    <w:pPr>
      <w:spacing w:after="120"/>
      <w:ind w:left="420" w:leftChars="200"/>
    </w:pPr>
    <w:rPr>
      <w:sz w:val="16"/>
      <w:szCs w:val="16"/>
    </w:rPr>
  </w:style>
  <w:style w:type="paragraph" w:styleId="35">
    <w:name w:val="toc 2"/>
    <w:basedOn w:val="1"/>
    <w:next w:val="1"/>
    <w:unhideWhenUsed/>
    <w:qFormat/>
    <w:uiPriority w:val="39"/>
    <w:pPr>
      <w:spacing w:line="360" w:lineRule="auto"/>
    </w:pPr>
    <w:rPr>
      <w:rFonts w:eastAsiaTheme="minorEastAsia"/>
      <w:b/>
      <w:sz w:val="28"/>
    </w:rPr>
  </w:style>
  <w:style w:type="paragraph" w:styleId="3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7">
    <w:name w:val="Body Text 2"/>
    <w:basedOn w:val="1"/>
    <w:link w:val="74"/>
    <w:qFormat/>
    <w:uiPriority w:val="0"/>
    <w:pPr>
      <w:spacing w:after="120" w:line="480" w:lineRule="auto"/>
    </w:pPr>
  </w:style>
  <w:style w:type="paragraph" w:styleId="38">
    <w:name w:val="HTML Preformatted"/>
    <w:basedOn w:val="1"/>
    <w:link w:val="7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pPr>
      <w:spacing w:line="220" w:lineRule="exact"/>
      <w:jc w:val="center"/>
    </w:pPr>
    <w:rPr>
      <w:rFonts w:ascii="仿宋_GB2312" w:eastAsia="仿宋_GB2312"/>
      <w:szCs w:val="20"/>
    </w:rPr>
  </w:style>
  <w:style w:type="paragraph" w:styleId="41">
    <w:name w:val="Title"/>
    <w:basedOn w:val="1"/>
    <w:link w:val="108"/>
    <w:qFormat/>
    <w:uiPriority w:val="0"/>
    <w:pPr>
      <w:jc w:val="center"/>
      <w:outlineLvl w:val="0"/>
    </w:pPr>
    <w:rPr>
      <w:rFonts w:asciiTheme="minorHAnsi" w:hAnsiTheme="minorHAnsi" w:eastAsiaTheme="minorEastAsia" w:cstheme="minorBidi"/>
      <w:b/>
      <w:sz w:val="32"/>
      <w:szCs w:val="22"/>
    </w:rPr>
  </w:style>
  <w:style w:type="paragraph" w:styleId="42">
    <w:name w:val="annotation subject"/>
    <w:basedOn w:val="15"/>
    <w:next w:val="15"/>
    <w:link w:val="90"/>
    <w:qFormat/>
    <w:uiPriority w:val="0"/>
    <w:rPr>
      <w:b/>
      <w:bCs/>
    </w:rPr>
  </w:style>
  <w:style w:type="paragraph" w:styleId="43">
    <w:name w:val="Body Text First Indent 2"/>
    <w:basedOn w:val="18"/>
    <w:unhideWhenUsed/>
    <w:qFormat/>
    <w:uiPriority w:val="99"/>
    <w:pPr>
      <w:ind w:firstLine="420" w:firstLineChars="200"/>
    </w:p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qFormat/>
    <w:uiPriority w:val="22"/>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Hyperlink"/>
    <w:qFormat/>
    <w:uiPriority w:val="99"/>
    <w:rPr>
      <w:color w:val="136EC2"/>
      <w:u w:val="single"/>
    </w:rPr>
  </w:style>
  <w:style w:type="character" w:styleId="51">
    <w:name w:val="annotation reference"/>
    <w:qFormat/>
    <w:uiPriority w:val="0"/>
    <w:rPr>
      <w:sz w:val="21"/>
      <w:szCs w:val="21"/>
    </w:rPr>
  </w:style>
  <w:style w:type="character" w:customStyle="1" w:styleId="52">
    <w:name w:val="标题 1 Char"/>
    <w:basedOn w:val="46"/>
    <w:link w:val="3"/>
    <w:qFormat/>
    <w:uiPriority w:val="0"/>
    <w:rPr>
      <w:bCs/>
      <w:kern w:val="2"/>
      <w:sz w:val="44"/>
    </w:rPr>
  </w:style>
  <w:style w:type="character" w:customStyle="1" w:styleId="53">
    <w:name w:val="标题 2 Char"/>
    <w:basedOn w:val="46"/>
    <w:link w:val="4"/>
    <w:qFormat/>
    <w:uiPriority w:val="0"/>
    <w:rPr>
      <w:rFonts w:ascii="Arial" w:hAnsi="Arial" w:eastAsia="方正小标宋简体"/>
      <w:b/>
      <w:bCs/>
      <w:kern w:val="2"/>
      <w:sz w:val="44"/>
      <w:szCs w:val="32"/>
    </w:rPr>
  </w:style>
  <w:style w:type="character" w:customStyle="1" w:styleId="54">
    <w:name w:val="标题 3 Char"/>
    <w:basedOn w:val="46"/>
    <w:link w:val="5"/>
    <w:qFormat/>
    <w:uiPriority w:val="0"/>
    <w:rPr>
      <w:rFonts w:eastAsia="黑体"/>
      <w:b/>
      <w:bCs/>
      <w:kern w:val="2"/>
      <w:sz w:val="32"/>
      <w:szCs w:val="32"/>
    </w:rPr>
  </w:style>
  <w:style w:type="character" w:customStyle="1" w:styleId="55">
    <w:name w:val="标题 4 Char"/>
    <w:basedOn w:val="46"/>
    <w:link w:val="6"/>
    <w:qFormat/>
    <w:uiPriority w:val="0"/>
    <w:rPr>
      <w:rFonts w:ascii="Arial" w:hAnsi="Arial" w:eastAsia="黑体"/>
      <w:b/>
      <w:bCs/>
      <w:kern w:val="2"/>
      <w:sz w:val="28"/>
      <w:szCs w:val="28"/>
    </w:rPr>
  </w:style>
  <w:style w:type="character" w:customStyle="1" w:styleId="56">
    <w:name w:val="标题 5 Char"/>
    <w:basedOn w:val="46"/>
    <w:link w:val="7"/>
    <w:qFormat/>
    <w:uiPriority w:val="0"/>
    <w:rPr>
      <w:rFonts w:ascii="Times New Roman" w:hAnsi="Times New Roman" w:eastAsia="宋体" w:cs="Times New Roman"/>
      <w:b/>
      <w:bCs/>
      <w:kern w:val="0"/>
      <w:sz w:val="28"/>
      <w:szCs w:val="28"/>
    </w:rPr>
  </w:style>
  <w:style w:type="character" w:customStyle="1" w:styleId="57">
    <w:name w:val="标题 6 Char"/>
    <w:basedOn w:val="46"/>
    <w:link w:val="8"/>
    <w:qFormat/>
    <w:uiPriority w:val="0"/>
    <w:rPr>
      <w:rFonts w:ascii="Arial" w:hAnsi="Arial" w:eastAsia="黑体" w:cs="Times New Roman"/>
      <w:b/>
      <w:bCs/>
      <w:kern w:val="0"/>
      <w:sz w:val="24"/>
      <w:szCs w:val="24"/>
    </w:rPr>
  </w:style>
  <w:style w:type="character" w:customStyle="1" w:styleId="58">
    <w:name w:val="标题 7 Char"/>
    <w:basedOn w:val="46"/>
    <w:link w:val="9"/>
    <w:qFormat/>
    <w:uiPriority w:val="0"/>
    <w:rPr>
      <w:rFonts w:ascii="Times New Roman" w:hAnsi="Times New Roman" w:eastAsia="宋体" w:cs="Times New Roman"/>
      <w:b/>
      <w:bCs/>
      <w:kern w:val="0"/>
      <w:sz w:val="24"/>
      <w:szCs w:val="24"/>
    </w:rPr>
  </w:style>
  <w:style w:type="character" w:customStyle="1" w:styleId="59">
    <w:name w:val="标题 8 Char"/>
    <w:basedOn w:val="46"/>
    <w:link w:val="10"/>
    <w:qFormat/>
    <w:uiPriority w:val="0"/>
    <w:rPr>
      <w:rFonts w:ascii="Arial" w:hAnsi="Arial" w:eastAsia="黑体" w:cs="Times New Roman"/>
      <w:kern w:val="0"/>
      <w:sz w:val="24"/>
      <w:szCs w:val="24"/>
    </w:rPr>
  </w:style>
  <w:style w:type="character" w:customStyle="1" w:styleId="60">
    <w:name w:val="标题 9 Char"/>
    <w:basedOn w:val="46"/>
    <w:link w:val="11"/>
    <w:qFormat/>
    <w:uiPriority w:val="0"/>
    <w:rPr>
      <w:rFonts w:ascii="Arial" w:hAnsi="Arial" w:eastAsia="黑体" w:cs="Times New Roman"/>
      <w:kern w:val="0"/>
      <w:szCs w:val="21"/>
    </w:rPr>
  </w:style>
  <w:style w:type="paragraph" w:customStyle="1" w:styleId="61">
    <w:name w:val="表格内容"/>
    <w:basedOn w:val="17"/>
    <w:qFormat/>
    <w:uiPriority w:val="0"/>
    <w:pPr>
      <w:suppressLineNumbers/>
      <w:suppressAutoHyphens/>
      <w:jc w:val="left"/>
    </w:pPr>
    <w:rPr>
      <w:rFonts w:cs="Tahoma"/>
      <w:kern w:val="0"/>
      <w:sz w:val="24"/>
    </w:rPr>
  </w:style>
  <w:style w:type="character" w:customStyle="1" w:styleId="62">
    <w:name w:val="正文文本 Char"/>
    <w:basedOn w:val="46"/>
    <w:link w:val="17"/>
    <w:qFormat/>
    <w:uiPriority w:val="0"/>
    <w:rPr>
      <w:rFonts w:ascii="Times New Roman" w:hAnsi="Times New Roman" w:eastAsia="宋体" w:cs="Times New Roman"/>
      <w:szCs w:val="24"/>
    </w:rPr>
  </w:style>
  <w:style w:type="character" w:customStyle="1" w:styleId="63">
    <w:name w:val="页脚 Char"/>
    <w:basedOn w:val="46"/>
    <w:link w:val="28"/>
    <w:qFormat/>
    <w:uiPriority w:val="99"/>
    <w:rPr>
      <w:rFonts w:ascii="Times New Roman" w:hAnsi="Times New Roman" w:eastAsia="宋体" w:cs="Times New Roman"/>
      <w:sz w:val="18"/>
      <w:szCs w:val="18"/>
    </w:rPr>
  </w:style>
  <w:style w:type="character" w:customStyle="1" w:styleId="64">
    <w:name w:val="页眉 Char"/>
    <w:basedOn w:val="46"/>
    <w:link w:val="29"/>
    <w:qFormat/>
    <w:uiPriority w:val="99"/>
    <w:rPr>
      <w:rFonts w:ascii="Times New Roman" w:hAnsi="Times New Roman" w:eastAsia="宋体" w:cs="Times New Roman"/>
      <w:sz w:val="18"/>
      <w:szCs w:val="18"/>
    </w:rPr>
  </w:style>
  <w:style w:type="character" w:customStyle="1" w:styleId="65">
    <w:name w:val="正文文本缩进 Char"/>
    <w:basedOn w:val="46"/>
    <w:link w:val="18"/>
    <w:qFormat/>
    <w:uiPriority w:val="0"/>
    <w:rPr>
      <w:rFonts w:ascii="Times New Roman" w:hAnsi="Times New Roman" w:eastAsia="宋体" w:cs="Times New Roman"/>
      <w:szCs w:val="24"/>
    </w:rPr>
  </w:style>
  <w:style w:type="paragraph" w:customStyle="1" w:styleId="66">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7">
    <w:name w:val="纯文本 Char"/>
    <w:basedOn w:val="46"/>
    <w:link w:val="23"/>
    <w:qFormat/>
    <w:uiPriority w:val="0"/>
    <w:rPr>
      <w:rFonts w:ascii="宋体" w:hAnsi="Courier New" w:eastAsia="宋体" w:cs="Courier New"/>
      <w:szCs w:val="21"/>
    </w:rPr>
  </w:style>
  <w:style w:type="character" w:customStyle="1" w:styleId="68">
    <w:name w:val="批注文字 Char"/>
    <w:basedOn w:val="46"/>
    <w:link w:val="15"/>
    <w:qFormat/>
    <w:uiPriority w:val="0"/>
    <w:rPr>
      <w:rFonts w:ascii="Times New Roman" w:hAnsi="Times New Roman" w:eastAsia="宋体" w:cs="Times New Roman"/>
      <w:szCs w:val="24"/>
    </w:rPr>
  </w:style>
  <w:style w:type="paragraph" w:customStyle="1" w:styleId="69">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70">
    <w:name w:val="Char Char Char"/>
    <w:basedOn w:val="1"/>
    <w:qFormat/>
    <w:uiPriority w:val="0"/>
    <w:rPr>
      <w:rFonts w:ascii="宋体" w:hAnsi="宋体"/>
      <w:b/>
      <w:sz w:val="28"/>
      <w:szCs w:val="28"/>
    </w:rPr>
  </w:style>
  <w:style w:type="paragraph" w:customStyle="1" w:styleId="71">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2">
    <w:name w:val="HTML 预设格式 Char"/>
    <w:basedOn w:val="46"/>
    <w:link w:val="38"/>
    <w:qFormat/>
    <w:uiPriority w:val="0"/>
    <w:rPr>
      <w:rFonts w:ascii="Arial" w:hAnsi="Arial" w:eastAsia="宋体" w:cs="Arial"/>
      <w:kern w:val="0"/>
      <w:sz w:val="24"/>
      <w:szCs w:val="24"/>
    </w:rPr>
  </w:style>
  <w:style w:type="character" w:customStyle="1" w:styleId="73">
    <w:name w:val="称呼 Char"/>
    <w:basedOn w:val="46"/>
    <w:link w:val="16"/>
    <w:qFormat/>
    <w:uiPriority w:val="0"/>
    <w:rPr>
      <w:rFonts w:ascii="仿宋_GB2312" w:hAnsi="Times New Roman" w:eastAsia="仿宋_GB2312" w:cs="Times New Roman"/>
      <w:sz w:val="24"/>
      <w:szCs w:val="24"/>
    </w:rPr>
  </w:style>
  <w:style w:type="character" w:customStyle="1" w:styleId="74">
    <w:name w:val="正文文本 2 Char"/>
    <w:basedOn w:val="46"/>
    <w:link w:val="37"/>
    <w:qFormat/>
    <w:uiPriority w:val="0"/>
    <w:rPr>
      <w:rFonts w:ascii="Times New Roman" w:hAnsi="Times New Roman" w:eastAsia="宋体" w:cs="Times New Roman"/>
      <w:szCs w:val="24"/>
    </w:rPr>
  </w:style>
  <w:style w:type="character" w:customStyle="1" w:styleId="75">
    <w:name w:val="正文文本缩进 2 Char"/>
    <w:basedOn w:val="46"/>
    <w:link w:val="26"/>
    <w:qFormat/>
    <w:uiPriority w:val="0"/>
    <w:rPr>
      <w:rFonts w:ascii="Times New Roman" w:hAnsi="Times New Roman" w:eastAsia="宋体" w:cs="Times New Roman"/>
      <w:szCs w:val="24"/>
    </w:rPr>
  </w:style>
  <w:style w:type="paragraph" w:customStyle="1" w:styleId="76">
    <w:name w:val="Char"/>
    <w:basedOn w:val="1"/>
    <w:qFormat/>
    <w:uiPriority w:val="0"/>
    <w:pPr>
      <w:tabs>
        <w:tab w:val="left" w:pos="360"/>
      </w:tabs>
      <w:ind w:left="360" w:hanging="360" w:hangingChars="200"/>
    </w:pPr>
    <w:rPr>
      <w:sz w:val="24"/>
    </w:rPr>
  </w:style>
  <w:style w:type="character" w:customStyle="1" w:styleId="77">
    <w:name w:val="正文文本缩进 3 Char"/>
    <w:basedOn w:val="46"/>
    <w:link w:val="34"/>
    <w:qFormat/>
    <w:uiPriority w:val="0"/>
    <w:rPr>
      <w:rFonts w:ascii="Times New Roman" w:hAnsi="Times New Roman" w:eastAsia="宋体" w:cs="Times New Roman"/>
      <w:sz w:val="16"/>
      <w:szCs w:val="16"/>
    </w:rPr>
  </w:style>
  <w:style w:type="character" w:customStyle="1" w:styleId="78">
    <w:name w:val="日期 Char"/>
    <w:basedOn w:val="46"/>
    <w:link w:val="25"/>
    <w:qFormat/>
    <w:uiPriority w:val="0"/>
    <w:rPr>
      <w:rFonts w:ascii="Times New Roman" w:hAnsi="Times New Roman" w:eastAsia="宋体" w:cs="Times New Roman"/>
      <w:sz w:val="24"/>
      <w:szCs w:val="20"/>
    </w:rPr>
  </w:style>
  <w:style w:type="paragraph" w:customStyle="1" w:styleId="79">
    <w:name w:val="样式1"/>
    <w:basedOn w:val="1"/>
    <w:link w:val="110"/>
    <w:qFormat/>
    <w:uiPriority w:val="0"/>
    <w:pPr>
      <w:tabs>
        <w:tab w:val="left" w:pos="360"/>
      </w:tabs>
      <w:adjustRightInd w:val="0"/>
      <w:ind w:left="360" w:hanging="360"/>
      <w:textAlignment w:val="baseline"/>
    </w:pPr>
    <w:rPr>
      <w:rFonts w:ascii="宋体" w:hAnsi="宋体"/>
      <w:kern w:val="0"/>
      <w:szCs w:val="21"/>
    </w:rPr>
  </w:style>
  <w:style w:type="character" w:customStyle="1" w:styleId="80">
    <w:name w:val="p0 Char"/>
    <w:link w:val="81"/>
    <w:qFormat/>
    <w:uiPriority w:val="0"/>
    <w:rPr>
      <w:rFonts w:eastAsia="宋体"/>
      <w:szCs w:val="21"/>
    </w:rPr>
  </w:style>
  <w:style w:type="paragraph" w:customStyle="1" w:styleId="81">
    <w:name w:val="p0"/>
    <w:basedOn w:val="1"/>
    <w:link w:val="80"/>
    <w:qFormat/>
    <w:uiPriority w:val="0"/>
    <w:pPr>
      <w:widowControl/>
    </w:pPr>
    <w:rPr>
      <w:rFonts w:asciiTheme="minorHAnsi" w:hAnsiTheme="minorHAnsi" w:cstheme="minorBidi"/>
      <w:szCs w:val="21"/>
    </w:rPr>
  </w:style>
  <w:style w:type="paragraph" w:customStyle="1" w:styleId="82">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3">
    <w:name w:val="Char Char1 Char Char Char Char Char1 Char Char Char Char"/>
    <w:basedOn w:val="14"/>
    <w:qFormat/>
    <w:uiPriority w:val="0"/>
    <w:rPr>
      <w:rFonts w:ascii="Tahoma" w:hAnsi="Tahoma"/>
    </w:rPr>
  </w:style>
  <w:style w:type="character" w:customStyle="1" w:styleId="84">
    <w:name w:val="文档结构图 Char"/>
    <w:basedOn w:val="46"/>
    <w:link w:val="14"/>
    <w:semiHidden/>
    <w:qFormat/>
    <w:uiPriority w:val="0"/>
    <w:rPr>
      <w:rFonts w:ascii="Times New Roman" w:hAnsi="Times New Roman" w:eastAsia="宋体" w:cs="Times New Roman"/>
      <w:szCs w:val="24"/>
      <w:shd w:val="clear" w:color="auto" w:fill="000080"/>
    </w:rPr>
  </w:style>
  <w:style w:type="paragraph" w:customStyle="1" w:styleId="85">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6">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7">
    <w:name w:val="1"/>
    <w:basedOn w:val="1"/>
    <w:qFormat/>
    <w:uiPriority w:val="0"/>
    <w:pPr>
      <w:spacing w:afterLines="50" w:line="360" w:lineRule="auto"/>
    </w:pPr>
    <w:rPr>
      <w:rFonts w:ascii="宋体" w:hAnsi="宋体"/>
      <w:b/>
      <w:sz w:val="30"/>
      <w:szCs w:val="21"/>
    </w:rPr>
  </w:style>
  <w:style w:type="paragraph" w:customStyle="1" w:styleId="88">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9">
    <w:name w:val="标题 1 +"/>
    <w:basedOn w:val="3"/>
    <w:next w:val="1"/>
    <w:qFormat/>
    <w:uiPriority w:val="0"/>
    <w:pPr>
      <w:keepLines/>
      <w:spacing w:line="600" w:lineRule="auto"/>
    </w:pPr>
    <w:rPr>
      <w:rFonts w:eastAsia="黑体"/>
      <w:kern w:val="0"/>
      <w:sz w:val="32"/>
      <w:szCs w:val="32"/>
    </w:rPr>
  </w:style>
  <w:style w:type="character" w:customStyle="1" w:styleId="90">
    <w:name w:val="批注主题 Char"/>
    <w:basedOn w:val="68"/>
    <w:link w:val="42"/>
    <w:qFormat/>
    <w:uiPriority w:val="0"/>
    <w:rPr>
      <w:rFonts w:ascii="Times New Roman" w:hAnsi="Times New Roman" w:eastAsia="宋体" w:cs="Times New Roman"/>
      <w:b/>
      <w:bCs/>
      <w:szCs w:val="24"/>
    </w:rPr>
  </w:style>
  <w:style w:type="character" w:customStyle="1" w:styleId="91">
    <w:name w:val="批注框文本 Char"/>
    <w:basedOn w:val="46"/>
    <w:link w:val="27"/>
    <w:qFormat/>
    <w:uiPriority w:val="0"/>
    <w:rPr>
      <w:rFonts w:ascii="Times New Roman" w:hAnsi="Times New Roman" w:eastAsia="宋体" w:cs="Times New Roman"/>
      <w:sz w:val="18"/>
      <w:szCs w:val="18"/>
    </w:rPr>
  </w:style>
  <w:style w:type="paragraph" w:customStyle="1" w:styleId="92">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3">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4">
    <w:name w:val="Char1 Char Char Char 字元 Char Char 字元 Char 字元 Char1 Char Char Char"/>
    <w:basedOn w:val="1"/>
    <w:qFormat/>
    <w:uiPriority w:val="0"/>
    <w:rPr>
      <w:szCs w:val="20"/>
    </w:rPr>
  </w:style>
  <w:style w:type="paragraph" w:customStyle="1" w:styleId="95">
    <w:name w:val="p16"/>
    <w:basedOn w:val="1"/>
    <w:qFormat/>
    <w:uiPriority w:val="0"/>
    <w:pPr>
      <w:widowControl/>
      <w:jc w:val="left"/>
    </w:pPr>
    <w:rPr>
      <w:kern w:val="0"/>
      <w:szCs w:val="21"/>
    </w:rPr>
  </w:style>
  <w:style w:type="paragraph" w:customStyle="1" w:styleId="96">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9">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00">
    <w:name w:val="Char Char Char1 Char"/>
    <w:basedOn w:val="1"/>
    <w:qFormat/>
    <w:uiPriority w:val="0"/>
    <w:pPr>
      <w:tabs>
        <w:tab w:val="left" w:pos="360"/>
      </w:tabs>
      <w:snapToGrid w:val="0"/>
      <w:spacing w:line="360" w:lineRule="auto"/>
    </w:pPr>
    <w:rPr>
      <w:rFonts w:eastAsia="仿宋_GB2312" w:cs="宋体"/>
      <w:sz w:val="24"/>
    </w:rPr>
  </w:style>
  <w:style w:type="paragraph" w:styleId="101">
    <w:name w:val="List Paragraph"/>
    <w:basedOn w:val="1"/>
    <w:link w:val="107"/>
    <w:qFormat/>
    <w:uiPriority w:val="34"/>
    <w:pPr>
      <w:ind w:firstLine="420" w:firstLineChars="200"/>
    </w:pPr>
  </w:style>
  <w:style w:type="character" w:customStyle="1" w:styleId="102">
    <w:name w:val="fontstyle01"/>
    <w:basedOn w:val="46"/>
    <w:qFormat/>
    <w:uiPriority w:val="0"/>
    <w:rPr>
      <w:rFonts w:hint="eastAsia" w:ascii="宋体" w:hAnsi="宋体" w:eastAsia="宋体"/>
      <w:color w:val="000000"/>
      <w:sz w:val="24"/>
      <w:szCs w:val="24"/>
    </w:rPr>
  </w:style>
  <w:style w:type="character" w:customStyle="1" w:styleId="103">
    <w:name w:val="fontstyle11"/>
    <w:basedOn w:val="46"/>
    <w:qFormat/>
    <w:uiPriority w:val="0"/>
    <w:rPr>
      <w:rFonts w:hint="default" w:ascii="TimesNewRomanPSMT" w:hAnsi="TimesNewRomanPSMT"/>
      <w:color w:val="000000"/>
      <w:sz w:val="24"/>
      <w:szCs w:val="24"/>
    </w:rPr>
  </w:style>
  <w:style w:type="paragraph" w:customStyle="1" w:styleId="104">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5">
    <w:name w:val="fontstyle21"/>
    <w:basedOn w:val="46"/>
    <w:qFormat/>
    <w:uiPriority w:val="0"/>
    <w:rPr>
      <w:rFonts w:hint="eastAsia" w:ascii="宋体" w:hAnsi="宋体" w:eastAsia="宋体"/>
      <w:color w:val="993300"/>
      <w:sz w:val="24"/>
      <w:szCs w:val="24"/>
    </w:rPr>
  </w:style>
  <w:style w:type="character" w:customStyle="1" w:styleId="106">
    <w:name w:val="fontstyle31"/>
    <w:basedOn w:val="46"/>
    <w:qFormat/>
    <w:uiPriority w:val="0"/>
    <w:rPr>
      <w:rFonts w:hint="default" w:ascii="Arial" w:hAnsi="Arial" w:cs="Arial"/>
      <w:color w:val="993300"/>
      <w:sz w:val="24"/>
      <w:szCs w:val="24"/>
    </w:rPr>
  </w:style>
  <w:style w:type="character" w:customStyle="1" w:styleId="107">
    <w:name w:val="列出段落 Char"/>
    <w:link w:val="101"/>
    <w:qFormat/>
    <w:uiPriority w:val="0"/>
    <w:rPr>
      <w:rFonts w:ascii="Times New Roman" w:hAnsi="Times New Roman" w:eastAsia="宋体" w:cs="Times New Roman"/>
      <w:szCs w:val="24"/>
    </w:rPr>
  </w:style>
  <w:style w:type="character" w:customStyle="1" w:styleId="108">
    <w:name w:val="标题 Char"/>
    <w:link w:val="41"/>
    <w:qFormat/>
    <w:uiPriority w:val="0"/>
    <w:rPr>
      <w:b/>
      <w:sz w:val="32"/>
    </w:rPr>
  </w:style>
  <w:style w:type="character" w:customStyle="1" w:styleId="109">
    <w:name w:val="标题 Char1"/>
    <w:basedOn w:val="46"/>
    <w:qFormat/>
    <w:uiPriority w:val="10"/>
    <w:rPr>
      <w:rFonts w:eastAsia="宋体" w:asciiTheme="majorHAnsi" w:hAnsiTheme="majorHAnsi" w:cstheme="majorBidi"/>
      <w:b/>
      <w:bCs/>
      <w:sz w:val="32"/>
      <w:szCs w:val="32"/>
    </w:rPr>
  </w:style>
  <w:style w:type="character" w:customStyle="1" w:styleId="110">
    <w:name w:val="样式1 Char Char"/>
    <w:link w:val="79"/>
    <w:qFormat/>
    <w:uiPriority w:val="0"/>
    <w:rPr>
      <w:rFonts w:ascii="宋体" w:hAnsi="宋体" w:eastAsia="宋体" w:cs="Times New Roman"/>
      <w:kern w:val="0"/>
      <w:szCs w:val="21"/>
    </w:rPr>
  </w:style>
  <w:style w:type="character" w:customStyle="1" w:styleId="111">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2">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3">
    <w:name w:val="批注文字 字符"/>
    <w:qFormat/>
    <w:uiPriority w:val="0"/>
    <w:rPr>
      <w:sz w:val="24"/>
      <w:szCs w:val="24"/>
    </w:rPr>
  </w:style>
  <w:style w:type="character" w:customStyle="1" w:styleId="114">
    <w:name w:val="纯文本 字符"/>
    <w:qFormat/>
    <w:locked/>
    <w:uiPriority w:val="0"/>
    <w:rPr>
      <w:rFonts w:ascii="宋体" w:hAnsi="Courier New" w:eastAsia="宋体" w:cs="Courier New"/>
      <w:kern w:val="2"/>
      <w:sz w:val="24"/>
      <w:szCs w:val="21"/>
      <w:lang w:val="en-US" w:eastAsia="zh-CN" w:bidi="ar-SA"/>
    </w:rPr>
  </w:style>
  <w:style w:type="paragraph" w:customStyle="1" w:styleId="115">
    <w:name w:val="列出段落1"/>
    <w:basedOn w:val="1"/>
    <w:qFormat/>
    <w:uiPriority w:val="0"/>
    <w:pPr>
      <w:ind w:firstLine="420" w:firstLineChars="200"/>
    </w:pPr>
    <w:rPr>
      <w:kern w:val="0"/>
      <w:sz w:val="24"/>
    </w:rPr>
  </w:style>
  <w:style w:type="character" w:customStyle="1" w:styleId="116">
    <w:name w:val="标题 1 字符"/>
    <w:qFormat/>
    <w:uiPriority w:val="0"/>
    <w:rPr>
      <w:b/>
      <w:bCs/>
      <w:kern w:val="44"/>
      <w:sz w:val="44"/>
      <w:szCs w:val="44"/>
    </w:rPr>
  </w:style>
  <w:style w:type="character" w:customStyle="1" w:styleId="117">
    <w:name w:val="标题 2 字符"/>
    <w:qFormat/>
    <w:uiPriority w:val="9"/>
    <w:rPr>
      <w:rFonts w:ascii="Arial" w:hAnsi="Arial" w:eastAsia="黑体"/>
      <w:b/>
      <w:sz w:val="32"/>
    </w:rPr>
  </w:style>
  <w:style w:type="character" w:customStyle="1" w:styleId="118">
    <w:name w:val="标题 4 字符"/>
    <w:qFormat/>
    <w:uiPriority w:val="0"/>
    <w:rPr>
      <w:rFonts w:ascii="Arial" w:hAnsi="Arial" w:eastAsia="黑体" w:cs="Arial"/>
      <w:b/>
      <w:bCs/>
      <w:kern w:val="2"/>
      <w:sz w:val="28"/>
      <w:szCs w:val="28"/>
    </w:rPr>
  </w:style>
  <w:style w:type="character" w:customStyle="1" w:styleId="119">
    <w:name w:val="文档结构图 字符"/>
    <w:semiHidden/>
    <w:qFormat/>
    <w:uiPriority w:val="0"/>
    <w:rPr>
      <w:sz w:val="24"/>
      <w:szCs w:val="24"/>
      <w:shd w:val="clear" w:color="auto" w:fill="000080"/>
    </w:rPr>
  </w:style>
  <w:style w:type="character" w:customStyle="1" w:styleId="120">
    <w:name w:val="正文文本 字符"/>
    <w:qFormat/>
    <w:uiPriority w:val="99"/>
    <w:rPr>
      <w:sz w:val="21"/>
      <w:szCs w:val="24"/>
    </w:rPr>
  </w:style>
  <w:style w:type="character" w:customStyle="1" w:styleId="121">
    <w:name w:val="正文文本缩进 字符"/>
    <w:qFormat/>
    <w:uiPriority w:val="0"/>
    <w:rPr>
      <w:sz w:val="24"/>
      <w:szCs w:val="24"/>
    </w:rPr>
  </w:style>
  <w:style w:type="character" w:customStyle="1" w:styleId="122">
    <w:name w:val="正文文本缩进 2 字符"/>
    <w:qFormat/>
    <w:uiPriority w:val="0"/>
    <w:rPr>
      <w:sz w:val="24"/>
      <w:szCs w:val="24"/>
    </w:rPr>
  </w:style>
  <w:style w:type="character" w:customStyle="1" w:styleId="123">
    <w:name w:val="批注框文本 字符"/>
    <w:qFormat/>
    <w:locked/>
    <w:uiPriority w:val="0"/>
    <w:rPr>
      <w:rFonts w:cs="Times New Roman"/>
      <w:sz w:val="18"/>
      <w:szCs w:val="18"/>
    </w:rPr>
  </w:style>
  <w:style w:type="character" w:customStyle="1" w:styleId="124">
    <w:name w:val="页脚 字符"/>
    <w:qFormat/>
    <w:locked/>
    <w:uiPriority w:val="99"/>
    <w:rPr>
      <w:rFonts w:cs="Times New Roman"/>
      <w:sz w:val="18"/>
      <w:szCs w:val="18"/>
    </w:rPr>
  </w:style>
  <w:style w:type="character" w:customStyle="1" w:styleId="125">
    <w:name w:val="页眉 字符"/>
    <w:qFormat/>
    <w:locked/>
    <w:uiPriority w:val="0"/>
    <w:rPr>
      <w:rFonts w:cs="Times New Roman"/>
      <w:sz w:val="18"/>
      <w:szCs w:val="18"/>
    </w:rPr>
  </w:style>
  <w:style w:type="paragraph" w:customStyle="1" w:styleId="126">
    <w:name w:val="_Style 122"/>
    <w:basedOn w:val="1"/>
    <w:next w:val="1"/>
    <w:qFormat/>
    <w:uiPriority w:val="39"/>
    <w:pPr>
      <w:ind w:left="420" w:leftChars="200"/>
    </w:pPr>
    <w:rPr>
      <w:kern w:val="0"/>
      <w:sz w:val="24"/>
    </w:rPr>
  </w:style>
  <w:style w:type="character" w:customStyle="1" w:styleId="127">
    <w:name w:val="正文文本 2 字符"/>
    <w:qFormat/>
    <w:uiPriority w:val="0"/>
    <w:rPr>
      <w:sz w:val="21"/>
      <w:szCs w:val="24"/>
    </w:rPr>
  </w:style>
  <w:style w:type="character" w:customStyle="1" w:styleId="128">
    <w:name w:val="标题 字符"/>
    <w:qFormat/>
    <w:uiPriority w:val="0"/>
    <w:rPr>
      <w:rFonts w:ascii="Calibri Light" w:hAnsi="Calibri Light"/>
      <w:b/>
      <w:bCs/>
      <w:kern w:val="2"/>
      <w:sz w:val="32"/>
      <w:szCs w:val="32"/>
    </w:rPr>
  </w:style>
  <w:style w:type="character" w:customStyle="1" w:styleId="129">
    <w:name w:val="apple-style-span"/>
    <w:qFormat/>
    <w:uiPriority w:val="0"/>
  </w:style>
  <w:style w:type="character" w:customStyle="1" w:styleId="130">
    <w:name w:val="样式 (中文) 仿宋_GB2312 三号"/>
    <w:qFormat/>
    <w:uiPriority w:val="0"/>
    <w:rPr>
      <w:rFonts w:hint="eastAsia" w:ascii="仿宋_GB2312" w:eastAsia="仿宋_GB2312"/>
      <w:sz w:val="32"/>
    </w:rPr>
  </w:style>
  <w:style w:type="character" w:customStyle="1" w:styleId="131">
    <w:name w:val="1111111199999 Char"/>
    <w:link w:val="132"/>
    <w:qFormat/>
    <w:locked/>
    <w:uiPriority w:val="0"/>
    <w:rPr>
      <w:sz w:val="21"/>
    </w:rPr>
  </w:style>
  <w:style w:type="paragraph" w:customStyle="1" w:styleId="132">
    <w:name w:val="1111111199999"/>
    <w:basedOn w:val="1"/>
    <w:link w:val="131"/>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3">
    <w:name w:val="Char Char3"/>
    <w:qFormat/>
    <w:locked/>
    <w:uiPriority w:val="0"/>
    <w:rPr>
      <w:rFonts w:ascii="宋体" w:hAnsi="宋体" w:eastAsia="宋体"/>
      <w:sz w:val="18"/>
      <w:szCs w:val="18"/>
      <w:lang w:val="en-US" w:eastAsia="zh-CN" w:bidi="ar-SA"/>
    </w:rPr>
  </w:style>
  <w:style w:type="character" w:customStyle="1" w:styleId="134">
    <w:name w:val="Char Char4"/>
    <w:qFormat/>
    <w:locked/>
    <w:uiPriority w:val="0"/>
    <w:rPr>
      <w:rFonts w:ascii="宋体" w:hAnsi="Courier New" w:eastAsia="宋体"/>
      <w:kern w:val="2"/>
      <w:sz w:val="21"/>
      <w:lang w:bidi="ar-SA"/>
    </w:rPr>
  </w:style>
  <w:style w:type="character" w:customStyle="1" w:styleId="135">
    <w:name w:val="List Paragraph Char"/>
    <w:link w:val="136"/>
    <w:qFormat/>
    <w:locked/>
    <w:uiPriority w:val="0"/>
    <w:rPr>
      <w:rFonts w:ascii="Calibri" w:hAnsi="Calibri"/>
      <w:sz w:val="22"/>
      <w:lang w:eastAsia="en-US"/>
    </w:rPr>
  </w:style>
  <w:style w:type="paragraph" w:customStyle="1" w:styleId="136">
    <w:name w:val="列出段落111"/>
    <w:basedOn w:val="1"/>
    <w:link w:val="135"/>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7">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8">
    <w:name w:val="Char Char Char Char"/>
    <w:basedOn w:val="1"/>
    <w:qFormat/>
    <w:uiPriority w:val="0"/>
    <w:rPr>
      <w:sz w:val="24"/>
      <w:szCs w:val="36"/>
    </w:rPr>
  </w:style>
  <w:style w:type="paragraph" w:customStyle="1" w:styleId="139">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40">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41">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2">
    <w:name w:val="批注主题 字符"/>
    <w:qFormat/>
    <w:uiPriority w:val="0"/>
    <w:rPr>
      <w:b/>
      <w:bCs/>
      <w:sz w:val="24"/>
      <w:szCs w:val="24"/>
    </w:rPr>
  </w:style>
  <w:style w:type="character" w:customStyle="1" w:styleId="143">
    <w:name w:val="副标题 Char"/>
    <w:basedOn w:val="46"/>
    <w:qFormat/>
    <w:uiPriority w:val="11"/>
    <w:rPr>
      <w:rFonts w:eastAsia="宋体" w:asciiTheme="majorHAnsi" w:hAnsiTheme="majorHAnsi" w:cstheme="majorBidi"/>
      <w:b/>
      <w:bCs/>
      <w:kern w:val="28"/>
      <w:sz w:val="32"/>
      <w:szCs w:val="32"/>
    </w:rPr>
  </w:style>
  <w:style w:type="character" w:customStyle="1" w:styleId="144">
    <w:name w:val="副标题 Char1"/>
    <w:link w:val="32"/>
    <w:qFormat/>
    <w:uiPriority w:val="0"/>
    <w:rPr>
      <w:rFonts w:ascii="等线 Light" w:hAnsi="等线 Light" w:eastAsia="宋体" w:cs="Times New Roman"/>
      <w:b/>
      <w:bCs/>
      <w:kern w:val="28"/>
      <w:sz w:val="32"/>
      <w:szCs w:val="32"/>
    </w:rPr>
  </w:style>
  <w:style w:type="character" w:customStyle="1" w:styleId="145">
    <w:name w:val="未处理的提及1"/>
    <w:basedOn w:val="46"/>
    <w:semiHidden/>
    <w:unhideWhenUsed/>
    <w:qFormat/>
    <w:uiPriority w:val="99"/>
    <w:rPr>
      <w:color w:val="605E5C"/>
      <w:shd w:val="clear" w:color="auto" w:fill="E1DFDD"/>
    </w:rPr>
  </w:style>
  <w:style w:type="character" w:customStyle="1" w:styleId="146">
    <w:name w:val="未处理的提及2"/>
    <w:basedOn w:val="46"/>
    <w:semiHidden/>
    <w:unhideWhenUsed/>
    <w:qFormat/>
    <w:uiPriority w:val="99"/>
    <w:rPr>
      <w:color w:val="605E5C"/>
      <w:shd w:val="clear" w:color="auto" w:fill="E1DFDD"/>
    </w:rPr>
  </w:style>
  <w:style w:type="paragraph" w:customStyle="1" w:styleId="14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8">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50">
    <w:name w:val="未处理的提及3"/>
    <w:basedOn w:val="46"/>
    <w:semiHidden/>
    <w:unhideWhenUsed/>
    <w:qFormat/>
    <w:uiPriority w:val="99"/>
    <w:rPr>
      <w:color w:val="605E5C"/>
      <w:shd w:val="clear" w:color="auto" w:fill="E1DFDD"/>
    </w:rPr>
  </w:style>
  <w:style w:type="paragraph" w:customStyle="1" w:styleId="151">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2">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3">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4">
    <w:name w:val="cf01"/>
    <w:basedOn w:val="46"/>
    <w:qFormat/>
    <w:uiPriority w:val="0"/>
    <w:rPr>
      <w:rFonts w:hint="eastAsia" w:ascii="Microsoft YaHei UI" w:hAnsi="Microsoft YaHei UI" w:eastAsia="Microsoft YaHei UI"/>
      <w:sz w:val="24"/>
      <w:szCs w:val="24"/>
    </w:rPr>
  </w:style>
  <w:style w:type="character" w:customStyle="1" w:styleId="155">
    <w:name w:val="未处理的提及4"/>
    <w:basedOn w:val="46"/>
    <w:semiHidden/>
    <w:unhideWhenUsed/>
    <w:qFormat/>
    <w:uiPriority w:val="99"/>
    <w:rPr>
      <w:color w:val="605E5C"/>
      <w:shd w:val="clear" w:color="auto" w:fill="E1DFDD"/>
    </w:rPr>
  </w:style>
  <w:style w:type="character" w:customStyle="1" w:styleId="156">
    <w:name w:val="Unresolved Mention"/>
    <w:basedOn w:val="46"/>
    <w:semiHidden/>
    <w:unhideWhenUsed/>
    <w:qFormat/>
    <w:uiPriority w:val="99"/>
    <w:rPr>
      <w:color w:val="605E5C"/>
      <w:shd w:val="clear" w:color="auto" w:fill="E1DFDD"/>
    </w:rPr>
  </w:style>
  <w:style w:type="paragraph" w:customStyle="1" w:styleId="157">
    <w:name w:val="WPSOffice手动目录 1"/>
    <w:qFormat/>
    <w:uiPriority w:val="0"/>
    <w:rPr>
      <w:rFonts w:ascii="Times New Roman" w:hAnsi="Times New Roman" w:eastAsia="宋体" w:cs="Times New Roman"/>
      <w:lang w:val="en-US" w:eastAsia="zh-CN" w:bidi="ar-SA"/>
    </w:rPr>
  </w:style>
  <w:style w:type="paragraph" w:customStyle="1" w:styleId="15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9">
    <w:name w:val="font31"/>
    <w:basedOn w:val="46"/>
    <w:qFormat/>
    <w:uiPriority w:val="0"/>
    <w:rPr>
      <w:rFonts w:hint="eastAsia" w:ascii="宋体" w:hAnsi="宋体" w:eastAsia="宋体" w:cs="宋体"/>
      <w:color w:val="000000"/>
      <w:sz w:val="24"/>
      <w:szCs w:val="24"/>
      <w:u w:val="none"/>
    </w:rPr>
  </w:style>
  <w:style w:type="character" w:customStyle="1" w:styleId="160">
    <w:name w:val="font51"/>
    <w:basedOn w:val="46"/>
    <w:qFormat/>
    <w:uiPriority w:val="0"/>
    <w:rPr>
      <w:rFonts w:hint="eastAsia" w:ascii="宋体" w:hAnsi="宋体" w:eastAsia="宋体" w:cs="宋体"/>
      <w:color w:val="000000"/>
      <w:sz w:val="22"/>
      <w:szCs w:val="22"/>
      <w:u w:val="none"/>
    </w:rPr>
  </w:style>
  <w:style w:type="character" w:customStyle="1" w:styleId="161">
    <w:name w:val="font61"/>
    <w:basedOn w:val="46"/>
    <w:qFormat/>
    <w:uiPriority w:val="0"/>
    <w:rPr>
      <w:rFonts w:hint="eastAsia" w:ascii="宋体" w:hAnsi="宋体" w:eastAsia="宋体" w:cs="宋体"/>
      <w:color w:val="000000"/>
      <w:sz w:val="24"/>
      <w:szCs w:val="24"/>
      <w:u w:val="none"/>
    </w:rPr>
  </w:style>
  <w:style w:type="character" w:customStyle="1" w:styleId="162">
    <w:name w:val="font21"/>
    <w:basedOn w:val="46"/>
    <w:qFormat/>
    <w:uiPriority w:val="0"/>
    <w:rPr>
      <w:rFonts w:hint="eastAsia" w:ascii="宋体" w:hAnsi="宋体" w:eastAsia="宋体" w:cs="宋体"/>
      <w:color w:val="000000"/>
      <w:sz w:val="24"/>
      <w:szCs w:val="24"/>
      <w:u w:val="none"/>
    </w:rPr>
  </w:style>
  <w:style w:type="character" w:customStyle="1" w:styleId="163">
    <w:name w:val="font81"/>
    <w:basedOn w:val="46"/>
    <w:qFormat/>
    <w:uiPriority w:val="0"/>
    <w:rPr>
      <w:rFonts w:hint="eastAsia" w:ascii="黑体" w:hAnsi="宋体" w:eastAsia="黑体" w:cs="黑体"/>
      <w:color w:val="000000"/>
      <w:sz w:val="24"/>
      <w:szCs w:val="24"/>
      <w:u w:val="none"/>
    </w:rPr>
  </w:style>
  <w:style w:type="character" w:customStyle="1" w:styleId="164">
    <w:name w:val="font131"/>
    <w:basedOn w:val="46"/>
    <w:qFormat/>
    <w:uiPriority w:val="0"/>
    <w:rPr>
      <w:rFonts w:hint="eastAsia" w:ascii="宋体" w:hAnsi="宋体" w:eastAsia="宋体" w:cs="宋体"/>
      <w:color w:val="FF0000"/>
      <w:sz w:val="24"/>
      <w:szCs w:val="24"/>
      <w:u w:val="none"/>
    </w:rPr>
  </w:style>
  <w:style w:type="character" w:customStyle="1" w:styleId="165">
    <w:name w:val="font01"/>
    <w:basedOn w:val="46"/>
    <w:qFormat/>
    <w:uiPriority w:val="0"/>
    <w:rPr>
      <w:rFonts w:hint="default" w:ascii="Times New Roman" w:hAnsi="Times New Roman" w:cs="Times New Roman"/>
      <w:color w:val="000000"/>
      <w:sz w:val="24"/>
      <w:szCs w:val="24"/>
      <w:u w:val="none"/>
    </w:rPr>
  </w:style>
  <w:style w:type="character" w:customStyle="1" w:styleId="166">
    <w:name w:val="font112"/>
    <w:basedOn w:val="46"/>
    <w:qFormat/>
    <w:uiPriority w:val="0"/>
    <w:rPr>
      <w:rFonts w:hint="eastAsia" w:ascii="宋体" w:hAnsi="宋体" w:eastAsia="宋体" w:cs="宋体"/>
      <w:color w:val="000000"/>
      <w:sz w:val="24"/>
      <w:szCs w:val="24"/>
      <w:u w:val="none"/>
    </w:rPr>
  </w:style>
  <w:style w:type="character" w:customStyle="1" w:styleId="167">
    <w:name w:val="font41"/>
    <w:basedOn w:val="46"/>
    <w:qFormat/>
    <w:uiPriority w:val="0"/>
    <w:rPr>
      <w:rFonts w:hint="eastAsia" w:ascii="宋体" w:hAnsi="宋体" w:eastAsia="宋体" w:cs="宋体"/>
      <w:color w:val="000000"/>
      <w:sz w:val="22"/>
      <w:szCs w:val="22"/>
      <w:u w:val="none"/>
    </w:rPr>
  </w:style>
  <w:style w:type="character" w:customStyle="1" w:styleId="168">
    <w:name w:val="font11"/>
    <w:basedOn w:val="46"/>
    <w:qFormat/>
    <w:uiPriority w:val="0"/>
    <w:rPr>
      <w:rFonts w:hint="eastAsia" w:ascii="宋体" w:hAnsi="宋体" w:eastAsia="宋体" w:cs="宋体"/>
      <w:color w:val="000000"/>
      <w:sz w:val="22"/>
      <w:szCs w:val="22"/>
      <w:u w:val="none"/>
    </w:rPr>
  </w:style>
  <w:style w:type="character" w:customStyle="1" w:styleId="169">
    <w:name w:val="font91"/>
    <w:basedOn w:val="46"/>
    <w:qFormat/>
    <w:uiPriority w:val="0"/>
    <w:rPr>
      <w:rFonts w:hint="eastAsia" w:ascii="宋体" w:hAnsi="宋体" w:eastAsia="宋体" w:cs="宋体"/>
      <w:color w:val="000000"/>
      <w:sz w:val="22"/>
      <w:szCs w:val="22"/>
      <w:u w:val="none"/>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74FC89-9C54-414D-AE89-8FD37604D130}">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65</Pages>
  <Words>21585</Words>
  <Characters>23269</Characters>
  <Lines>408</Lines>
  <Paragraphs>115</Paragraphs>
  <TotalTime>0</TotalTime>
  <ScaleCrop>false</ScaleCrop>
  <LinksUpToDate>false</LinksUpToDate>
  <CharactersWithSpaces>26788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2023-07-24T08:31:00Z</dcterms:created>
  <dc:creator>admin</dc:creator>
  <cp:lastModifiedBy>DOCTOR</cp:lastModifiedBy>
  <cp:lastPrinted>2024-01-09T02:44:00Z</cp:lastPrinted>
  <dcterms:modified xsi:type="dcterms:W3CDTF">2024-01-18T08:59:11Z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F923B475CF69400CAD74C5CF09781740</vt:lpwstr>
  </property>
</Properties>
</file>