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2" w:type="dxa"/>
        <w:jc w:val="center"/>
        <w:tblLook w:val="04A0"/>
      </w:tblPr>
      <w:tblGrid>
        <w:gridCol w:w="1222"/>
        <w:gridCol w:w="3804"/>
        <w:gridCol w:w="975"/>
        <w:gridCol w:w="826"/>
        <w:gridCol w:w="1382"/>
        <w:gridCol w:w="1103"/>
      </w:tblGrid>
      <w:tr w:rsidR="00E1706E" w:rsidRPr="00E1706E" w:rsidTr="00822A8F">
        <w:trPr>
          <w:trHeight w:val="20"/>
          <w:jc w:val="center"/>
        </w:trPr>
        <w:tc>
          <w:tcPr>
            <w:tcW w:w="93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 w:rsidRPr="00E1706E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0"/>
                <w:szCs w:val="40"/>
              </w:rPr>
              <w:t>医疗设备技术需求确认表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设备名称</w:t>
            </w:r>
          </w:p>
        </w:tc>
        <w:tc>
          <w:tcPr>
            <w:tcW w:w="38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数字切片扫描系统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6E" w:rsidRPr="00822A8F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总数量</w:t>
            </w:r>
          </w:p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（台/套）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1706E" w:rsidRPr="00822A8F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预算总金额</w:t>
            </w:r>
          </w:p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（万元）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100</w:t>
            </w:r>
          </w:p>
        </w:tc>
      </w:tr>
    </w:tbl>
    <w:p w:rsidR="00822A8F" w:rsidRDefault="00822A8F" w:rsidP="00822A8F">
      <w:pPr>
        <w:spacing w:line="20" w:lineRule="exact"/>
      </w:pPr>
    </w:p>
    <w:tbl>
      <w:tblPr>
        <w:tblW w:w="9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1602"/>
        <w:gridCol w:w="5426"/>
        <w:gridCol w:w="1398"/>
      </w:tblGrid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技术和性能参数名称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招标参数和性能要求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b/>
                <w:kern w:val="0"/>
                <w:sz w:val="22"/>
              </w:rPr>
              <w:t>备注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基本要求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可以实现脑组织等明场、荧光染色的玻片标本进行全片扫描成像、定量分析、数字教学等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资质认证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具备NMPA(CFDA)认证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技术和性能参数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主机外观设计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扫描系统是一体化封闭式设计，避免扫描时外界光线干扰。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单次装载数量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单次装载≥10张玻片，进行全自动无人值守批量扫描。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*3.3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扫描原理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明场和荧光均采用面阵扫描，保证最佳清晰度和色彩还原。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物镜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数值孔径≥0.8的20倍平场复消色差物镜。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·3.5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图像分辨率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20倍物镜扫描，图像分辨率最高≤0.23</w:t>
            </w:r>
            <w:r w:rsidRPr="00E1706E">
              <w:rPr>
                <w:rFonts w:asciiTheme="minorEastAsia" w:hAnsiTheme="minorEastAsia" w:cs="宋体"/>
                <w:kern w:val="0"/>
                <w:sz w:val="22"/>
              </w:rPr>
              <w:t>μ</w:t>
            </w: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m/pixel。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3.6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扫描区域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自动精准识别需扫描的组织区域，并只对有效组织区域进行扫描，自动跳过空白区域；也可人工设定。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·3.7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扫描速度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图像分辨率≤0.23</w:t>
            </w:r>
            <w:r w:rsidRPr="00E1706E">
              <w:rPr>
                <w:rFonts w:asciiTheme="minorEastAsia" w:hAnsiTheme="minorEastAsia" w:cs="宋体"/>
                <w:kern w:val="0"/>
                <w:sz w:val="22"/>
              </w:rPr>
              <w:t>μ</w:t>
            </w: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m/pixel模式下，扫描15mm × 15mm的有效组织区域，所用时间≤100秒。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3.8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条码识别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可自动识别一维和二维码，自动根据条码信息命名切片；自动对玻片标识进行拍照，保存玻片信息。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3.9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荧光扫描功能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具备荧光扫描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*3.9.1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荧光转盘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配备≥10孔位的荧光电动转盘，可实现滤光块的自动转换。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3.9.2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滤光块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配置≥3种滤光块，至少包含：蓝、绿、红。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3.9.3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荧光光源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高稳定性固态光源，使用寿命≥18000小时。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3.9.4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FISH切片扫描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可以将不同焦平面上的探针标记点融合到一层图像上。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3.10 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扫描控制软件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扫描预览功能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扫描过程中，在显示器上可以看到扫描切片的编号，以及切片扫描的区域位置。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 Z-Stack扫描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对于厚薄不均匀的切片，可进行多层分别保存扫描，即将切片多层扫描后，将每层的图像分别保存，可观察每一层的细胞形态。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景深扩展（多层融合）扫描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对于厚薄不均匀的切片，可进行景深扩展扫描，即将切片多层扫描后，将每一层最清楚的图像区域融合为一层图像，提高图像质量。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·3.10.4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多层扫描模式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扫描层数≥25层，层间距范围1-10步，扫描精度≤0.2微米/步。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3.10.5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图像色彩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可选线性校准、标准SRGB、类显微镜、自定义等多种色彩方案，用户可根据需要自行设置。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3.10.6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切片预览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具有自动去除盖玻片功能，扫描时避开盖玻片边缘区域避免无效的扫描。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3.10.7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选择框功能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设置选择框后只扫描选择框内的有效组织区域，合理避开切片上的标识标记等。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3.10.8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切片命名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人工输入、list导入、自动识别条形码三种模式。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lastRenderedPageBreak/>
              <w:t>3.11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图像浏览软件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图像缩放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可进行1X、2X、5X、10X、20X、40X或无极缩放；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浏览历史记录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不同放大倍数的已浏览图像区域，可不同颜色区别显示。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同屏对比功能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可将不同染色的连续切片同屏浏览，一键对齐，可以同时控制这些图像进行操作，比如放大或者缩小，移动位置等。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切片堆积浏览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可将不同染色的连续切片堆积进行类Z轴浏览，用于共定位研究。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3.11.5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数码变焦功能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对多层扫描的切片，浏览软件具有对局部图像多层聚焦功能，可观察Z轴方向多个平面细胞形态。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*3.11.6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组织芯片标记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可进行≥4种不同直径的组织芯片定位标记，至少包括：0.6mm，1.0mm，1.5mm，2.0mm。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283478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>
              <w:rPr>
                <w:rFonts w:asciiTheme="minorEastAsia" w:hAnsiTheme="minorEastAsia" w:cs="宋体" w:hint="eastAsia"/>
                <w:kern w:val="0"/>
                <w:sz w:val="22"/>
              </w:rPr>
              <w:t>可量化指标</w:t>
            </w: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3.11.7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自定义截图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可自定义设置截图尺寸，分辨率可设置≥300ppi，并可对同屏对比的多幅图像一键截屏。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·3.11.8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三维浏览功能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对于Z-Stack扫描的切片，可构建三维模型进行缩放、旋转，对切片进行三维浏览。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3.11.9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计数功能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点击选择不同分组的目标，软件自动分别统计数量及占比。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3.12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设备不良事件情况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提供设备近三年不良事件情况（厂家自报）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配置需求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明场&amp;荧光一体化扫描仪主机一套，电脑一台，显示器一台，软件一套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5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售后条款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*5.1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原厂保修年限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≥3年，保修期内开机率不低于95%（按365日/年计算，含节假日)，未达到要求的开机率天数，按双倍天数顺延保修期。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*5.2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零配件支持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5.3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零配件保证供应时长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厂家自报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5.4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到位维修响应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维修到达现场时间≤0.5个工作日（京内）</w:t>
            </w: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br/>
              <w:t>维修到达现场时间≤3个工作日（京外）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*5.5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保修期外维修费用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提供免费保修期外的年度整机保修费用价格，提供维修工时费计算方法及价格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·5.6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技术支持和服务网点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提供全国主要城市售后服务网点及售后人员数量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·5.7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升级与软件维护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保修期内免费升级和软件维护；保修期外，原软件维护仅收工时费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·5.8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专用工具、资料及其它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提供设备配套的维修专用工具，资料（操作手册、维修手册等）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·5.9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培训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提供使用培训和工程师原厂培训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88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5.10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交货期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合同签订后3个月内交货</w:t>
            </w:r>
          </w:p>
        </w:tc>
        <w:tc>
          <w:tcPr>
            <w:tcW w:w="1398" w:type="dxa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2"/>
              </w:rPr>
            </w:pPr>
          </w:p>
        </w:tc>
      </w:tr>
      <w:tr w:rsidR="00E1706E" w:rsidRPr="00E1706E" w:rsidTr="00822A8F">
        <w:trPr>
          <w:trHeight w:val="20"/>
          <w:jc w:val="center"/>
        </w:trPr>
        <w:tc>
          <w:tcPr>
            <w:tcW w:w="9312" w:type="dxa"/>
            <w:gridSpan w:val="4"/>
            <w:shd w:val="clear" w:color="auto" w:fill="auto"/>
            <w:vAlign w:val="center"/>
            <w:hideMark/>
          </w:tcPr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备注：</w:t>
            </w:r>
            <w:r>
              <w:rPr>
                <w:rFonts w:asciiTheme="minorEastAsia" w:hAnsiTheme="minorEastAsia" w:cs="Times New Roman"/>
                <w:kern w:val="0"/>
                <w:sz w:val="22"/>
              </w:rPr>
              <w:t>1.</w:t>
            </w:r>
            <w:r w:rsidRPr="00E1706E">
              <w:rPr>
                <w:rFonts w:asciiTheme="minorEastAsia" w:hAnsiTheme="minorEastAsia" w:cs="宋体" w:hint="eastAsia"/>
                <w:kern w:val="0"/>
                <w:sz w:val="22"/>
              </w:rPr>
              <w:t>加注“*”号的技术指标为关键指标，≥1项未达到招标文件要求，即做废标处理。</w:t>
            </w:r>
          </w:p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color w:val="000000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2.加注“·”号的技术指标为重要指标。</w:t>
            </w:r>
          </w:p>
          <w:p w:rsidR="00E1706E" w:rsidRPr="00E1706E" w:rsidRDefault="00E1706E" w:rsidP="00E1706E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Theme="minorEastAsia" w:hAnsiTheme="minorEastAsia" w:cs="宋体"/>
                <w:kern w:val="0"/>
                <w:sz w:val="22"/>
              </w:rPr>
            </w:pPr>
            <w:r w:rsidRPr="00E1706E">
              <w:rPr>
                <w:rFonts w:asciiTheme="minorEastAsia" w:hAnsiTheme="minorEastAsia" w:cs="宋体" w:hint="eastAsia"/>
                <w:color w:val="000000"/>
                <w:kern w:val="0"/>
                <w:sz w:val="22"/>
              </w:rPr>
              <w:t xml:space="preserve">      3.加注“*”、“·”号的技术指标均需投标企业提供证明材料。</w:t>
            </w:r>
          </w:p>
        </w:tc>
      </w:tr>
    </w:tbl>
    <w:p w:rsidR="003649D2" w:rsidRPr="00E1706E" w:rsidRDefault="003649D2"/>
    <w:sectPr w:rsidR="003649D2" w:rsidRPr="00E1706E" w:rsidSect="00E170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9CD" w:rsidRDefault="00DF79CD" w:rsidP="00283478">
      <w:r>
        <w:separator/>
      </w:r>
    </w:p>
  </w:endnote>
  <w:endnote w:type="continuationSeparator" w:id="1">
    <w:p w:rsidR="00DF79CD" w:rsidRDefault="00DF79CD" w:rsidP="002834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9CD" w:rsidRDefault="00DF79CD" w:rsidP="00283478">
      <w:r>
        <w:separator/>
      </w:r>
    </w:p>
  </w:footnote>
  <w:footnote w:type="continuationSeparator" w:id="1">
    <w:p w:rsidR="00DF79CD" w:rsidRDefault="00DF79CD" w:rsidP="002834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06E"/>
    <w:rsid w:val="0019667B"/>
    <w:rsid w:val="00283478"/>
    <w:rsid w:val="003649D2"/>
    <w:rsid w:val="004A39F5"/>
    <w:rsid w:val="004E4935"/>
    <w:rsid w:val="005A4649"/>
    <w:rsid w:val="00822A8F"/>
    <w:rsid w:val="008C1753"/>
    <w:rsid w:val="00D20B4B"/>
    <w:rsid w:val="00DF79CD"/>
    <w:rsid w:val="00E17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34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34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34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34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5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360</Words>
  <Characters>2056</Characters>
  <Application>Microsoft Office Word</Application>
  <DocSecurity>0</DocSecurity>
  <Lines>17</Lines>
  <Paragraphs>4</Paragraphs>
  <ScaleCrop>false</ScaleCrop>
  <Company>惠普(中国)股份有限公司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3</cp:revision>
  <dcterms:created xsi:type="dcterms:W3CDTF">2024-01-18T11:00:00Z</dcterms:created>
  <dcterms:modified xsi:type="dcterms:W3CDTF">2024-01-22T08:43:00Z</dcterms:modified>
</cp:coreProperties>
</file>