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0" w:type="dxa"/>
        <w:tblLayout w:type="fixed"/>
        <w:tblLook w:val="04A0"/>
      </w:tblPr>
      <w:tblGrid>
        <w:gridCol w:w="1096"/>
        <w:gridCol w:w="2414"/>
        <w:gridCol w:w="1796"/>
        <w:gridCol w:w="708"/>
        <w:gridCol w:w="2582"/>
        <w:gridCol w:w="924"/>
      </w:tblGrid>
      <w:tr w:rsidR="00614F64">
        <w:trPr>
          <w:trHeight w:val="762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医疗设备技术需求确认表</w:t>
            </w:r>
          </w:p>
        </w:tc>
      </w:tr>
      <w:tr w:rsidR="00614F64">
        <w:trPr>
          <w:trHeight w:val="702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重症插件式监护仪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总数量（台/套）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预算总金额（万元）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175</w:t>
            </w:r>
          </w:p>
        </w:tc>
      </w:tr>
      <w:tr w:rsidR="00614F64">
        <w:trPr>
          <w:trHeight w:val="739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技术和性能参数名称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招标参数和性能要求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*1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基本要求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适用于成人、小儿、新生儿病人生命体征监测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*2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资质认证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具备CFDA和FDA认证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技术和性能参数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3.1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主机要求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·3.1.1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主机结构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监护仪为分体式设计，支持外接模块插件箱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·3.1.2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插件箱槽位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≧8个</w:t>
            </w:r>
            <w:bookmarkStart w:id="0" w:name="_GoBack"/>
            <w:bookmarkEnd w:id="0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3.1.3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散热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无风扇设计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3.1.4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固定支架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提供主机固定安装支架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·3.1.5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电池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内置可充电锂电池，续航时间≥1小时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·3.1.6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功能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具备药物计算、血液动力学计算、氧合计算、通气计算、肾功能计算及结果回顾存储功能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·3.1.7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屏幕大小、操控方式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≥20英寸彩色液晶触摸屏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·3.1.8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显示调节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具有自动感应环境光线调整屏幕亮度功能，支持横屏、竖屏旋转，重力感应自动切换屏幕显示方式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·3.1.9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显示分辨率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屏幕分辨率≥1680×1050，波形显示通道数≥13道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3.1.10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显示界面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具有大字体显示界面，动态趋势共存界面，回顾对比查看界面，呼吸氧合图界面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3.1.11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记录仪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具备记录仪功能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3.2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监护参数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·3.2.1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模块功能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具备3/5导ECG、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 w:val="22"/>
              </w:rPr>
              <w:t>Resp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 w:val="22"/>
              </w:rPr>
              <w:t>、SpO2、PR、NIBP、双通道体温和双通道有创血压的同时监测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·3.2.2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监护模块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监护模块拔出后可以升级作为一个独立的监护仪使用，满足临床转运病人的需要，屏幕≥5英寸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*3.2.3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血流动力学监测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提供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 w:val="22"/>
              </w:rPr>
              <w:t>PiCCO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 w:val="22"/>
              </w:rPr>
              <w:t>监测功能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3.2.4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BIS参数模块、能量代谢监测、死腔监测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支持BIS参数模块，旁流呼末CO2模块，模块支持热插拔，即插即用；BIS监测模块提供不少于1通道或4通道EEG，双频指数（BIS），肌电活动（EMG）,抑制比（SR），频谱边缘频率（SEF）等参数的监测；               能量代谢监测提供测量容积二氧化碳参数（VCO2、MVCO2）、氧耗参数（VO2、MVO2）、呼吸熵（RQ）和能量消耗（EE）；支持升级死腔监测提供测量容积二氧化碳参数（VCO2、MVCO2、FeCO2、SlopeCO2）、通气参数（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 w:val="22"/>
              </w:rPr>
              <w:t>Vtalv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 w:val="22"/>
              </w:rPr>
              <w:t>、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 w:val="22"/>
              </w:rPr>
              <w:t>MValv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 w:val="22"/>
              </w:rPr>
              <w:t>）和死腔参数（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 w:val="22"/>
              </w:rPr>
              <w:t>Vdaw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 w:val="22"/>
              </w:rPr>
              <w:t>、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 w:val="22"/>
              </w:rPr>
              <w:t>Vdaw/Vt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 w:val="22"/>
              </w:rPr>
              <w:t>、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 w:val="22"/>
              </w:rPr>
              <w:t>Vdalv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 w:val="22"/>
              </w:rPr>
              <w:t>、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 w:val="22"/>
              </w:rPr>
              <w:t>Vdalv/Vt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 w:val="22"/>
              </w:rPr>
              <w:t>、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 w:val="22"/>
              </w:rPr>
              <w:t>Vdphy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 w:val="22"/>
              </w:rPr>
              <w:t>、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 w:val="22"/>
              </w:rPr>
              <w:t>Vd/Vt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1045E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</w:t>
            </w:r>
            <w:r w:rsidR="004A2975">
              <w:rPr>
                <w:rFonts w:ascii="宋体" w:eastAsia="宋体" w:hAnsi="宋体" w:cs="宋体" w:hint="eastAsia"/>
                <w:kern w:val="0"/>
                <w:sz w:val="22"/>
              </w:rPr>
              <w:t>3.2.5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信息化联通模块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支持信息化联通模块，将床旁设备如呼吸机或麻醉机的信息通信集成到监护仪，模块支持热插拔，即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 xml:space="preserve">插即用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·3.2.6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分析功能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提供≥25种心律失常分析，同屏12导ST段波形片段实时显示，QT/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 w:val="22"/>
              </w:rPr>
              <w:t>QTc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 w:val="22"/>
              </w:rPr>
              <w:t>实时连续监测和起搏器分析功能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3.2.7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监护参数范围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NIBP监护支持手动测量、自动间隔测量、连续测量和序列测量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>测量范围：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>成人：收缩压：25mmHg～290mmHg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 xml:space="preserve">      平均压：15mmHg～260mmHg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 xml:space="preserve">      舒张压：10mmHg～250mmHg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>小儿：收缩压：25mmHg～240mmHg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 xml:space="preserve">      平均压：15mmHg～215mmHg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 xml:space="preserve">      舒张压：10mmHg～200mmHg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>新生儿：收缩压：25mmHg～140mmHg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 xml:space="preserve">      平均压：15mmHg～125mmHg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 xml:space="preserve">      舒张压：10mmHg～115mmHg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3.2.8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IBP通道数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IBP支持≥8通道IBP有创压同时监测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3.2.9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PICCO监护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需采用股动脉和中心静脉常规穿刺方法实现病人CCO等血液动力学参数的微创监测提供蛛网图，满足各个参数的实时动态显示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·3.2.10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血流动力学参数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提供血流动力学参数的关系树和决策树界面,支持对于患者血流动力学监测，试验，跟踪和评估的功能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·3.2.11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血流动力学参数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提供血流动力学参数的图形图像化实时动态监测，直观显示心功能和肺水情况的变化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3.3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数据储存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3.3.1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全息波形存储与回顾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≥24小时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3.3.2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报警事件存储与回顾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≥800个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3.3.3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趋势数据的存储与回顾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≥120小时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73D99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3.4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中央监护系统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73D99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D99" w:rsidRDefault="00C73D99" w:rsidP="00C73D9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3.4.1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数据同步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支持接收HIS端病人信息并同步至床旁监护仪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73D99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3.4.2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数据输出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具备HL7数据输出，可与医院信息系统连接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73D99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·3.4.3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数据通道（数据网关）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数据网关支持至少支持4个数据通道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73D99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·3.4.4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显示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可同屏显示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≥60个病人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D99" w:rsidRDefault="00C73D9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 w:rsidP="00C73D9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</w:t>
            </w:r>
            <w:r w:rsidR="00C73D99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报警及安全指标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设备指标异常提示和安全报警声、光指示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 w:rsidP="00C73D9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3.</w:t>
            </w:r>
            <w:r w:rsidR="00C73D99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设备不良事件情况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厂家自报设备近三年不良事件情况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*4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配置需求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 w:rsidP="00A10B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包含主机及配套附件7套，监护模块（转运监护仪）7台，组织氧监测模块或单机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（含相关配套附件）1个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="00A10B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呼吸力学模块1个，</w:t>
            </w:r>
            <w:r w:rsidR="00F256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数据联通模块7个，中央监护系统</w:t>
            </w:r>
            <w:r w:rsidR="00A10B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r w:rsidR="00F256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套，肌松监测模块</w:t>
            </w:r>
            <w:r w:rsidR="00A10B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r w:rsidR="00F256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套，无创血流动力学监测模块</w:t>
            </w:r>
            <w:r w:rsidR="00A10B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r w:rsidR="00F256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套，CO模块</w:t>
            </w:r>
            <w:r w:rsidR="00A10B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r w:rsidR="00F256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售后条款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*5.1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原厂保修年限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≥3年，保修期内开机率不低于95%（按365日/年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计算，含节假日)，未达到要求的开机率天数，按双倍天数顺延保修期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*5.2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零配件支持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5.3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零配件保证供应时长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厂家自报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5.4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到位维修响应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维修到达现场时间≤0.5个工作日（京内）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>维修到达现场时间≤3个工作日（京外）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*5.5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保修期外维修费用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提供免费保修期外的年度整机保修费用价格，提供维修工时费计算方法及价格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·5.6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技术支持和服务网点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提供全国主要城市售后服务网点及售后人员数量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·5.7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升级与软件维护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保修期内免费升级和软件维护；保修期外，原软件维护仅收工时费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·5.8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专用工具、资料及其它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提供设备配套的维修专用工具，资料（操作手册、维修手册等）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·5.9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培训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提供使用培训和工程师原厂培训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5.10 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交货期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合同签订后3个月内交货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4F64">
        <w:tc>
          <w:tcPr>
            <w:tcW w:w="9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F64" w:rsidRDefault="004A29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备注：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1.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加注“*”号的技术指标为关键指标，≥1项未达到招标文件要求，即做废标处理。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2.加注“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40"/>
                <w:szCs w:val="40"/>
              </w:rPr>
              <w:t>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”号的技术指标为重要指标。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3.加注“*”、“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40"/>
                <w:szCs w:val="40"/>
              </w:rPr>
              <w:t>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”号的技术指标均需投标企业提供证明材料。</w:t>
            </w:r>
          </w:p>
        </w:tc>
      </w:tr>
    </w:tbl>
    <w:p w:rsidR="00614F64" w:rsidRDefault="00614F64"/>
    <w:sectPr w:rsidR="00614F64" w:rsidSect="00614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BB1" w:rsidRDefault="005E3BB1" w:rsidP="001045E9">
      <w:r>
        <w:separator/>
      </w:r>
    </w:p>
  </w:endnote>
  <w:endnote w:type="continuationSeparator" w:id="0">
    <w:p w:rsidR="005E3BB1" w:rsidRDefault="005E3BB1" w:rsidP="00104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BB1" w:rsidRDefault="005E3BB1" w:rsidP="001045E9">
      <w:r>
        <w:separator/>
      </w:r>
    </w:p>
  </w:footnote>
  <w:footnote w:type="continuationSeparator" w:id="0">
    <w:p w:rsidR="005E3BB1" w:rsidRDefault="005E3BB1" w:rsidP="001045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E14"/>
    <w:rsid w:val="000D6821"/>
    <w:rsid w:val="001045E9"/>
    <w:rsid w:val="003E6E9A"/>
    <w:rsid w:val="004A2975"/>
    <w:rsid w:val="005E3BB1"/>
    <w:rsid w:val="00614F64"/>
    <w:rsid w:val="009D0E14"/>
    <w:rsid w:val="00A10B0E"/>
    <w:rsid w:val="00B1488F"/>
    <w:rsid w:val="00C73D99"/>
    <w:rsid w:val="00F256A9"/>
    <w:rsid w:val="3C863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F6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14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14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14F6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14F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404</Words>
  <Characters>2308</Characters>
  <Application>Microsoft Office Word</Application>
  <DocSecurity>0</DocSecurity>
  <Lines>19</Lines>
  <Paragraphs>5</Paragraphs>
  <ScaleCrop>false</ScaleCrop>
  <Company>Lenovo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7</cp:revision>
  <dcterms:created xsi:type="dcterms:W3CDTF">2023-05-15T10:15:00Z</dcterms:created>
  <dcterms:modified xsi:type="dcterms:W3CDTF">2024-01-16T09:53:00Z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