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szCs w:val="44"/>
          <w:lang w:val="zh-CN"/>
        </w:rPr>
      </w:pPr>
      <w:bookmarkStart w:id="0" w:name="_Toc130887498"/>
      <w:bookmarkStart w:id="1" w:name="_Toc24521_WPSOffice_Level1"/>
      <w:bookmarkStart w:id="2" w:name="_Toc128151025"/>
      <w:bookmarkStart w:id="3" w:name="_Toc12397"/>
      <w:bookmarkStart w:id="4" w:name="_Toc128150132"/>
      <w:bookmarkStart w:id="5" w:name="_Toc130657990"/>
      <w:bookmarkStart w:id="6" w:name="_Toc130657536"/>
      <w:bookmarkStart w:id="7" w:name="_Toc7404"/>
      <w:bookmarkStart w:id="8" w:name="_Toc8647"/>
      <w:bookmarkStart w:id="9" w:name="_Toc112317781"/>
      <w:bookmarkStart w:id="10" w:name="_Toc5855"/>
      <w:bookmarkStart w:id="11" w:name="_Toc128150776"/>
      <w:bookmarkStart w:id="12" w:name="_Toc132190632"/>
      <w:bookmarkStart w:id="13" w:name="_Toc128397968"/>
      <w:bookmarkStart w:id="14" w:name="_Toc130886997"/>
      <w:bookmarkStart w:id="15" w:name="_Toc127820562"/>
      <w:bookmarkStart w:id="16" w:name="_Toc29228"/>
      <w:bookmarkStart w:id="17" w:name="第二部分"/>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spacing w:line="360" w:lineRule="auto"/>
        <w:ind w:firstLine="560" w:firstLineChars="200"/>
        <w:rPr>
          <w:rFonts w:hint="eastAsia"/>
          <w:sz w:val="28"/>
          <w:szCs w:val="28"/>
        </w:rPr>
      </w:pPr>
      <w:bookmarkStart w:id="18" w:name="_Toc31472_WPSOffice_Level2"/>
      <w:bookmarkStart w:id="19" w:name="_Toc285612596"/>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rFonts w:hint="eastAsia" w:ascii="黑体" w:hAnsi="黑体" w:eastAsia="黑体" w:cs="黑体"/>
          <w:b w:val="0"/>
          <w:sz w:val="28"/>
          <w:szCs w:val="28"/>
          <w:highlight w:val="none"/>
          <w:lang w:val="en-US" w:eastAsia="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r>
        <w:rPr>
          <w:rFonts w:hint="eastAsia"/>
          <w:highlight w:val="none"/>
          <w:lang w:val="en-US" w:eastAsia="zh-CN"/>
        </w:rPr>
        <w:t>）</w:t>
      </w:r>
      <w:bookmarkEnd w:id="18"/>
    </w:p>
    <w:bookmarkEnd w:id="19"/>
    <w:tbl>
      <w:tblPr>
        <w:tblStyle w:val="44"/>
        <w:tblW w:w="9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54"/>
        <w:gridCol w:w="1960"/>
        <w:gridCol w:w="4656"/>
        <w:gridCol w:w="1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1960"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技术和性能参数名称</w:t>
            </w:r>
          </w:p>
        </w:tc>
        <w:tc>
          <w:tcPr>
            <w:tcW w:w="4656" w:type="dxa"/>
            <w:tcBorders>
              <w:top w:val="single" w:color="auto"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招标参数和性能要求</w:t>
            </w:r>
          </w:p>
        </w:tc>
        <w:tc>
          <w:tcPr>
            <w:tcW w:w="1801" w:type="dxa"/>
            <w:tcBorders>
              <w:top w:val="single" w:color="auto" w:sz="4" w:space="0"/>
              <w:left w:val="single" w:color="000000"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trPr>
        <w:tc>
          <w:tcPr>
            <w:tcW w:w="9371" w:type="dxa"/>
            <w:gridSpan w:val="4"/>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*1</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基本要求</w:t>
            </w:r>
          </w:p>
        </w:tc>
        <w:tc>
          <w:tcPr>
            <w:tcW w:w="4656"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可从咽拭子、血清、血浆、全血、增菌液、组织、干血斑等多种类型的样本中快速提取到所需要的目标核酸，并完成PCR体系构建。</w:t>
            </w:r>
          </w:p>
        </w:tc>
        <w:tc>
          <w:tcPr>
            <w:tcW w:w="1801"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54"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*2</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配置要求</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主机一台、调试用耗材一套；配套软件一套。</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sz w:val="22"/>
                <w:szCs w:val="22"/>
                <w:highlight w:val="none"/>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w:t>
            </w:r>
            <w:r>
              <w:rPr>
                <w:rFonts w:hint="default" w:ascii="宋体" w:hAnsi="宋体" w:cs="宋体"/>
                <w:i w:val="0"/>
                <w:iCs w:val="0"/>
                <w:color w:val="000000"/>
                <w:kern w:val="0"/>
                <w:sz w:val="24"/>
                <w:szCs w:val="24"/>
                <w:u w:val="none"/>
                <w:lang w:val="en-US" w:eastAsia="zh-CN" w:bidi="ar"/>
              </w:rPr>
              <w:t>3</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产品资格</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获得CFDA</w:t>
            </w:r>
            <w:r>
              <w:rPr>
                <w:rFonts w:hint="eastAsia" w:ascii="宋体" w:hAnsi="宋体" w:cs="宋体"/>
                <w:i w:val="0"/>
                <w:iCs w:val="0"/>
                <w:color w:val="000000"/>
                <w:kern w:val="0"/>
                <w:sz w:val="24"/>
                <w:szCs w:val="24"/>
                <w:u w:val="none"/>
                <w:lang w:val="en-US" w:eastAsia="zh-CN" w:bidi="ar"/>
              </w:rPr>
              <w:t>或</w:t>
            </w:r>
            <w:r>
              <w:rPr>
                <w:rFonts w:hint="eastAsia" w:ascii="宋体" w:hAnsi="宋体" w:eastAsia="宋体" w:cs="宋体"/>
                <w:i w:val="0"/>
                <w:iCs w:val="0"/>
                <w:color w:val="000000"/>
                <w:kern w:val="0"/>
                <w:sz w:val="24"/>
                <w:szCs w:val="24"/>
                <w:u w:val="none"/>
                <w:lang w:val="en-US" w:eastAsia="zh-CN" w:bidi="ar"/>
              </w:rPr>
              <w:t>FDA认证</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default" w:ascii="宋体" w:hAnsi="宋体" w:cs="宋体"/>
                <w:i w:val="0"/>
                <w:color w:val="000000"/>
                <w:sz w:val="22"/>
                <w:szCs w:val="22"/>
                <w:u w:val="none"/>
                <w:lang w:val="en-US" w:eastAsia="zh-CN"/>
              </w:rPr>
              <w:t>FDA</w:t>
            </w:r>
            <w:r>
              <w:rPr>
                <w:rFonts w:hint="eastAsia" w:ascii="宋体" w:hAnsi="宋体" w:cs="宋体"/>
                <w:i w:val="0"/>
                <w:color w:val="000000"/>
                <w:sz w:val="22"/>
                <w:szCs w:val="22"/>
                <w:u w:val="none"/>
                <w:lang w:val="en-US" w:eastAsia="zh-CN"/>
              </w:rPr>
              <w:t>认证，</w:t>
            </w:r>
            <w:r>
              <w:rPr>
                <w:rFonts w:hint="eastAsia" w:ascii="宋体" w:hAnsi="宋体" w:eastAsia="宋体" w:cs="宋体"/>
                <w:i w:val="0"/>
                <w:color w:val="000000"/>
                <w:sz w:val="22"/>
                <w:szCs w:val="22"/>
                <w:u w:val="none"/>
                <w:lang w:val="en-US" w:eastAsia="zh-CN"/>
              </w:rPr>
              <w:t>投标人提供网页截图或证书复印件并加盖投标人公章，须体现具体型号</w:t>
            </w:r>
            <w:r>
              <w:rPr>
                <w:rFonts w:hint="eastAsia" w:ascii="宋体" w:hAnsi="宋体" w:cs="宋体"/>
                <w:i w:val="0"/>
                <w:color w:val="000000"/>
                <w:sz w:val="22"/>
                <w:szCs w:val="22"/>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4</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技术力量</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*1.采用磁珠法核酸提取的技术原理，磁珠残留≤1%；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•2.处理样本通量≥96个；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3.提取时间：全流程≤60分钟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4.可与医院HIS/LIS 系统联接；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5.液面探测采用气压感应液面检测技术。</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5</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性能指标</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1.标本处理总体积范围30-1000μl；</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2.加样通道≥4个；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*3.原理:采用磁珠法提取原理及旋转式混匀技术；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4.可原始管上样，无需倒管；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5.移液范围为5-1000ul；</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*6.移液性能：移液量≤15μ1时准确性A≤1.5%，重复性CV≤3.0%；移液量(15-50)μl 时准确性A≤1.0%，重复性 CV≤1.2%；移液量≥50μ1时准确性A≤1.0%，重复性 CV≤1.0%；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•7.可原始管上样，无需倒管，且兼容多种规格样本原始管，样本架载入时可对多个样本条码逐个扫描，可外接扫码枪对单样本条码进行扫描；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8.提取试剂与PCR试剂均有二维码，可自动解析提取和PCR体系构建程序，并可自动完成PCR实验过程设置；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•9.防污染设置：封闭独立的核酸提取区域，底部定向排风HEPA过滤；独立分区、气压调节，定向排风形成内部负压系统；实验仓、提取仓、废料区紫外灯消毒装置自动执行处理；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•10.PCR试剂仓避光设计，开机可以自动制冷(4-8℃冷藏)。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37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i w:val="0"/>
                <w:color w:val="000000"/>
                <w:sz w:val="24"/>
                <w:szCs w:val="24"/>
                <w:u w:val="none"/>
                <w:lang w:eastAsia="zh-CN"/>
              </w:rPr>
            </w:pPr>
            <w:r>
              <w:rPr>
                <w:rFonts w:hint="eastAsia" w:ascii="宋体" w:hAnsi="宋体" w:cs="宋体"/>
                <w:b/>
                <w:bCs/>
                <w:i w:val="0"/>
                <w:color w:val="000000"/>
                <w:sz w:val="24"/>
                <w:szCs w:val="24"/>
                <w:u w:val="none"/>
                <w:lang w:val="en-US" w:eastAsia="zh-CN"/>
              </w:rPr>
              <w:t>*商务要求(均为实质性响应条款，不接受负偏离）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default" w:ascii="宋体" w:hAnsi="宋体" w:cs="宋体"/>
                <w:i w:val="0"/>
                <w:iCs w:val="0"/>
                <w:color w:val="000000"/>
                <w:kern w:val="0"/>
                <w:sz w:val="24"/>
                <w:szCs w:val="24"/>
                <w:u w:val="none"/>
                <w:lang w:val="en-US" w:eastAsia="zh-CN" w:bidi="ar"/>
              </w:rPr>
              <w:t>7</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售后服务</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*1.保修≥3年，保修期内开机率不低于95%(按365日/年计算，含节假日)，未达到要求的开机率天数，按双倍天数顺延保修期；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*2.保修期内按维修手册要求提供定期维护保养服务；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*3.维修到达现场时间≤0.5个工作日(京内)维修到达现场时间≤3个工作日(京外)；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*4.保修期内免费升级和软件维护，保修期外原软件维护仅收工时费。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5.配件报价：提供消耗性配件（年平均更换大于一次的配件）和高值配件（价格大于设备成交价5%以上）的报价清单，且高值配件报价之和不得高于设备成交价的110%。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6.维修工时费计算方法及价格：至少提供按小时计费和按故障点计费两种方式，用户可自行选择。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7.专用工具、资料及其它：提供设备配套的维修专用工具（如有），资料（操作手册，维修手册）等。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8.培训：提供使用培训和工程师原厂培训，如遇技术问题，随时提供技术支持。</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eastAsia="zh-CN"/>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cs="宋体"/>
                <w:i w:val="0"/>
                <w:iCs w:val="0"/>
                <w:color w:val="000000"/>
                <w:kern w:val="0"/>
                <w:sz w:val="24"/>
                <w:szCs w:val="24"/>
                <w:u w:val="none"/>
                <w:lang w:val="en-US" w:eastAsia="zh-CN" w:bidi="ar"/>
              </w:rPr>
              <w:t>8</w:t>
            </w:r>
          </w:p>
        </w:tc>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付款方式</w:t>
            </w:r>
          </w:p>
        </w:tc>
        <w:tc>
          <w:tcPr>
            <w:tcW w:w="46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合同签订后，货物验收合格后6个月内结清全部货款。在结清货款前，中标供应商向甲方缴纳合同总金额5%作为质量保证金，质保期满后无息退还质量保证金。（投标人提供终身质保时，在验收完成10年后退还质量保证金）</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937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pStyle w:val="2"/>
              <w:rPr>
                <w:rFonts w:hint="eastAsia"/>
                <w:highlight w:val="none"/>
                <w:lang w:val="en-US" w:eastAsia="zh-CN"/>
              </w:rPr>
            </w:pPr>
            <w:r>
              <w:rPr>
                <w:rFonts w:hint="eastAsia"/>
                <w:highlight w:val="none"/>
                <w:lang w:val="en-US" w:eastAsia="zh-CN"/>
              </w:rPr>
              <w:t>备注：</w:t>
            </w:r>
            <w:r>
              <w:rPr>
                <w:rFonts w:hint="default"/>
                <w:highlight w:val="none"/>
                <w:lang w:val="en-US" w:eastAsia="zh-CN"/>
              </w:rPr>
              <w:t xml:space="preserve">1. </w:t>
            </w:r>
            <w:r>
              <w:rPr>
                <w:rFonts w:hint="eastAsia"/>
                <w:highlight w:val="none"/>
                <w:lang w:val="en-US" w:eastAsia="zh-CN"/>
              </w:rPr>
              <w:t>加注“*”号的技术指标为关键指标，≥1项未达到招标文件要求，即做废标处理。</w:t>
            </w:r>
            <w:r>
              <w:rPr>
                <w:rFonts w:hint="eastAsia"/>
                <w:highlight w:val="none"/>
                <w:lang w:val="en-US" w:eastAsia="zh-CN"/>
              </w:rPr>
              <w:br w:type="textWrapping"/>
            </w:r>
            <w:r>
              <w:rPr>
                <w:rFonts w:hint="eastAsia"/>
                <w:highlight w:val="none"/>
                <w:lang w:val="en-US" w:eastAsia="zh-CN"/>
              </w:rPr>
              <w:t xml:space="preserve">      2.加注“·”号的技术指标为重要指标。</w:t>
            </w:r>
            <w:r>
              <w:rPr>
                <w:rFonts w:hint="eastAsia"/>
                <w:highlight w:val="none"/>
                <w:lang w:val="en-US" w:eastAsia="zh-CN"/>
              </w:rPr>
              <w:br w:type="textWrapping"/>
            </w:r>
            <w:r>
              <w:rPr>
                <w:rFonts w:hint="eastAsia"/>
                <w:highlight w:val="none"/>
                <w:lang w:val="en-US" w:eastAsia="zh-CN"/>
              </w:rPr>
              <w:t xml:space="preserve">      3.加注“*”、“·”号的技术指标均需投标企业提供证明材料。</w:t>
            </w:r>
          </w:p>
          <w:p>
            <w:pPr>
              <w:jc w:val="left"/>
              <w:rPr>
                <w:rFonts w:hint="eastAsia" w:ascii="宋体" w:hAnsi="宋体" w:eastAsia="宋体" w:cs="宋体"/>
                <w:i w:val="0"/>
                <w:color w:val="000000"/>
                <w:sz w:val="22"/>
                <w:szCs w:val="22"/>
                <w:highlight w:val="none"/>
                <w:u w:val="none"/>
              </w:rPr>
            </w:pPr>
            <w:r>
              <w:rPr>
                <w:rFonts w:hint="eastAsia"/>
                <w:b/>
                <w:sz w:val="28"/>
                <w:szCs w:val="28"/>
                <w:highlight w:val="none"/>
                <w:lang w:val="zh-CN"/>
              </w:rPr>
              <w:t>说明：技术要求中带“</w:t>
            </w:r>
            <w:r>
              <w:rPr>
                <w:rFonts w:hint="eastAsia" w:ascii="黑体" w:hAnsi="黑体" w:eastAsia="黑体" w:cs="黑体"/>
                <w:b/>
                <w:bCs/>
                <w:sz w:val="28"/>
                <w:szCs w:val="28"/>
                <w:highlight w:val="none"/>
                <w:lang w:val="en-US" w:eastAsia="zh-CN"/>
              </w:rPr>
              <w:t>*</w:t>
            </w:r>
            <w:r>
              <w:rPr>
                <w:rFonts w:hint="eastAsia"/>
                <w:b/>
                <w:sz w:val="28"/>
                <w:szCs w:val="28"/>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无偏离响应（承诺）为准。“•”号项排名打分或正偏离加分以及一般指标正偏离加分时，参照上述要求提供技术支持材料，未提供的不予认可。</w:t>
            </w:r>
          </w:p>
        </w:tc>
      </w:tr>
    </w:tbl>
    <w:p>
      <w:pPr>
        <w:rPr>
          <w:rFonts w:hint="eastAsia"/>
        </w:rPr>
      </w:pPr>
    </w:p>
    <w:p>
      <w:pPr>
        <w:numPr>
          <w:ilvl w:val="0"/>
          <w:numId w:val="0"/>
        </w:numPr>
        <w:sectPr>
          <w:footerReference r:id="rId3" w:type="default"/>
          <w:pgSz w:w="11906" w:h="16838"/>
          <w:pgMar w:top="1417" w:right="1134" w:bottom="1417" w:left="1417" w:header="851" w:footer="850" w:gutter="0"/>
          <w:pgNumType w:fmt="decimal"/>
          <w:cols w:space="0" w:num="1"/>
          <w:docGrid w:linePitch="312" w:charSpace="0"/>
        </w:sectPr>
      </w:pPr>
    </w:p>
    <w:tbl>
      <w:tblPr>
        <w:tblStyle w:val="44"/>
        <w:tblW w:w="9385" w:type="dxa"/>
        <w:tblInd w:w="0" w:type="dxa"/>
        <w:shd w:val="clear" w:color="auto" w:fill="auto"/>
        <w:tblLayout w:type="fixed"/>
        <w:tblCellMar>
          <w:top w:w="0" w:type="dxa"/>
          <w:left w:w="0" w:type="dxa"/>
          <w:bottom w:w="0" w:type="dxa"/>
          <w:right w:w="0" w:type="dxa"/>
        </w:tblCellMar>
      </w:tblPr>
      <w:tblGrid>
        <w:gridCol w:w="9385"/>
      </w:tblGrid>
      <w:tr>
        <w:tblPrEx>
          <w:shd w:val="clear" w:color="auto" w:fill="auto"/>
          <w:tblCellMar>
            <w:top w:w="0" w:type="dxa"/>
            <w:left w:w="0" w:type="dxa"/>
            <w:bottom w:w="0" w:type="dxa"/>
            <w:right w:w="0" w:type="dxa"/>
          </w:tblCellMar>
        </w:tblPrEx>
        <w:trPr>
          <w:trHeight w:val="7501"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2"/>
              <w:jc w:val="both"/>
              <w:rPr>
                <w:rFonts w:hint="eastAsia"/>
                <w:sz w:val="21"/>
                <w:szCs w:val="21"/>
                <w:lang w:val="en-US" w:eastAsia="zh-CN"/>
              </w:rPr>
            </w:pPr>
            <w:r>
              <w:rPr>
                <w:rFonts w:hint="eastAsia"/>
                <w:sz w:val="21"/>
                <w:szCs w:val="21"/>
                <w:lang w:val="en-US" w:eastAsia="zh-CN"/>
              </w:rPr>
              <w:t>附件1</w:t>
            </w:r>
          </w:p>
          <w:tbl>
            <w:tblPr>
              <w:tblStyle w:val="44"/>
              <w:tblW w:w="9355" w:type="dxa"/>
              <w:tblInd w:w="0" w:type="dxa"/>
              <w:shd w:val="clear" w:color="auto" w:fill="auto"/>
              <w:tblLayout w:type="fixed"/>
              <w:tblCellMar>
                <w:top w:w="0" w:type="dxa"/>
                <w:left w:w="0" w:type="dxa"/>
                <w:bottom w:w="0" w:type="dxa"/>
                <w:right w:w="0" w:type="dxa"/>
              </w:tblCellMar>
            </w:tblPr>
            <w:tblGrid>
              <w:gridCol w:w="1123"/>
              <w:gridCol w:w="3493"/>
              <w:gridCol w:w="1022"/>
              <w:gridCol w:w="1191"/>
              <w:gridCol w:w="2526"/>
            </w:tblGrid>
            <w:tr>
              <w:tblPrEx>
                <w:shd w:val="clear" w:color="auto" w:fill="auto"/>
              </w:tblPrEx>
              <w:trPr>
                <w:trHeight w:val="480" w:hRule="atLeast"/>
              </w:trPr>
              <w:tc>
                <w:tcPr>
                  <w:tcW w:w="9355" w:type="dxa"/>
                  <w:gridSpan w:val="5"/>
                  <w:tcBorders>
                    <w:top w:val="nil"/>
                    <w:left w:val="nil"/>
                    <w:bottom w:val="nil"/>
                    <w:right w:val="nil"/>
                  </w:tcBorders>
                  <w:shd w:val="clear" w:color="auto" w:fill="auto"/>
                  <w:noWrap/>
                  <w:tcMar>
                    <w:top w:w="15" w:type="dxa"/>
                    <w:left w:w="15" w:type="dxa"/>
                    <w:right w:w="15" w:type="dxa"/>
                  </w:tcMar>
                  <w:vAlign w:val="center"/>
                </w:tcPr>
                <w:p>
                  <w:pPr>
                    <w:pStyle w:val="2"/>
                    <w:jc w:val="center"/>
                  </w:pPr>
                  <w:r>
                    <w:rPr>
                      <w:rFonts w:hint="eastAsia"/>
                      <w:b/>
                      <w:bCs/>
                      <w:sz w:val="28"/>
                      <w:szCs w:val="28"/>
                      <w:highlight w:val="none"/>
                      <w:lang w:val="en-US" w:eastAsia="zh-CN"/>
                    </w:rPr>
                    <w:t>*</w:t>
                  </w:r>
                  <w:r>
                    <w:rPr>
                      <w:rFonts w:hint="eastAsia"/>
                      <w:sz w:val="28"/>
                      <w:szCs w:val="28"/>
                      <w:lang w:val="en-US" w:eastAsia="zh-CN"/>
                    </w:rPr>
                    <w:t>医疗设备配套封闭耗材试剂需求表</w:t>
                  </w:r>
                </w:p>
              </w:tc>
            </w:tr>
            <w:tr>
              <w:tblPrEx>
                <w:tblCellMar>
                  <w:top w:w="0" w:type="dxa"/>
                  <w:left w:w="0" w:type="dxa"/>
                  <w:bottom w:w="0" w:type="dxa"/>
                  <w:right w:w="0" w:type="dxa"/>
                </w:tblCellMar>
              </w:tblPrEx>
              <w:trPr>
                <w:trHeight w:val="78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r>
                    <w:rPr>
                      <w:rFonts w:hint="eastAsia"/>
                      <w:lang w:val="en-US" w:eastAsia="zh-CN"/>
                    </w:rPr>
                    <w:t>设备名称</w:t>
                  </w:r>
                </w:p>
              </w:tc>
              <w:tc>
                <w:tcPr>
                  <w:tcW w:w="451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r>
                    <w:rPr>
                      <w:rFonts w:hint="eastAsia"/>
                    </w:rPr>
                    <w:t>核酸自动提取仪</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rPr>
                      <w:rFonts w:hint="eastAsia"/>
                    </w:rPr>
                  </w:pPr>
                  <w:r>
                    <w:rPr>
                      <w:rFonts w:hint="eastAsia"/>
                      <w:lang w:val="en-US" w:eastAsia="zh-CN"/>
                    </w:rPr>
                    <w:t>数量：</w:t>
                  </w:r>
                  <w:r>
                    <w:rPr>
                      <w:rFonts w:hint="default"/>
                      <w:lang w:val="en-US" w:eastAsia="zh-CN"/>
                    </w:rPr>
                    <w:t>3</w:t>
                  </w:r>
                  <w:r>
                    <w:rPr>
                      <w:rFonts w:hint="eastAsia"/>
                      <w:lang w:val="en-US" w:eastAsia="zh-CN"/>
                    </w:rPr>
                    <w:t>台</w:t>
                  </w:r>
                </w:p>
              </w:tc>
            </w:tr>
            <w:tr>
              <w:tblPrEx>
                <w:tblCellMar>
                  <w:top w:w="0" w:type="dxa"/>
                  <w:left w:w="0" w:type="dxa"/>
                  <w:bottom w:w="0" w:type="dxa"/>
                  <w:right w:w="0" w:type="dxa"/>
                </w:tblCellMar>
              </w:tblPrEx>
              <w:trPr>
                <w:trHeight w:val="54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r>
                    <w:rPr>
                      <w:rFonts w:hint="eastAsia"/>
                      <w:lang w:val="en-US" w:eastAsia="zh-CN"/>
                    </w:rPr>
                    <w:t>序号</w:t>
                  </w:r>
                </w:p>
              </w:tc>
              <w:tc>
                <w:tcPr>
                  <w:tcW w:w="3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rPr>
                      <w:rFonts w:hint="eastAsia"/>
                    </w:rPr>
                  </w:pPr>
                  <w:r>
                    <w:rPr>
                      <w:rFonts w:hint="eastAsia"/>
                      <w:lang w:val="en-US" w:eastAsia="zh-CN"/>
                    </w:rPr>
                    <w:t>一次性耗材</w:t>
                  </w:r>
                  <w:r>
                    <w:rPr>
                      <w:rFonts w:hint="default"/>
                      <w:lang w:val="en-US" w:eastAsia="zh-CN"/>
                    </w:rPr>
                    <w:t>/</w:t>
                  </w:r>
                  <w:r>
                    <w:rPr>
                      <w:rFonts w:hint="eastAsia"/>
                      <w:lang w:val="en-US" w:eastAsia="zh-CN"/>
                    </w:rPr>
                    <w:t>试剂名称</w:t>
                  </w:r>
                </w:p>
              </w:tc>
              <w:tc>
                <w:tcPr>
                  <w:tcW w:w="10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rPr>
                      <w:rFonts w:hint="eastAsia"/>
                    </w:rPr>
                  </w:pPr>
                  <w:r>
                    <w:rPr>
                      <w:rFonts w:hint="eastAsia"/>
                      <w:lang w:val="en-US" w:eastAsia="zh-CN"/>
                    </w:rPr>
                    <w:t>简称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rPr>
                      <w:rFonts w:hint="eastAsia"/>
                    </w:rPr>
                  </w:pPr>
                  <w:r>
                    <w:rPr>
                      <w:rFonts w:hint="eastAsia"/>
                      <w:lang w:val="en-US" w:eastAsia="zh-CN"/>
                    </w:rPr>
                    <w:t>单台设备预估3年使用量</w:t>
                  </w:r>
                </w:p>
              </w:tc>
              <w:tc>
                <w:tcPr>
                  <w:tcW w:w="2526"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pStyle w:val="2"/>
                    <w:rPr>
                      <w:rFonts w:hint="eastAsia"/>
                    </w:rPr>
                  </w:pPr>
                  <w:r>
                    <w:rPr>
                      <w:rFonts w:hint="eastAsia"/>
                      <w:lang w:val="en-US" w:eastAsia="zh-CN"/>
                    </w:rPr>
                    <w:t>备注</w:t>
                  </w:r>
                </w:p>
              </w:tc>
            </w:tr>
            <w:tr>
              <w:trPr>
                <w:trHeight w:val="435" w:hRule="atLeast"/>
              </w:trPr>
              <w:tc>
                <w:tcPr>
                  <w:tcW w:w="461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r>
                    <w:rPr>
                      <w:rFonts w:hint="eastAsia"/>
                      <w:lang w:val="en-US" w:eastAsia="zh-CN"/>
                    </w:rPr>
                    <w:t>一、必须开展的检测治疗所使用的耗材/试剂</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rPr>
                      <w:rFonts w:hint="eastAsia"/>
                    </w:rPr>
                  </w:pPr>
                </w:p>
              </w:tc>
            </w:tr>
            <w:tr>
              <w:trPr>
                <w:trHeight w:val="270" w:hRule="atLeast"/>
              </w:trPr>
              <w:tc>
                <w:tcPr>
                  <w:tcW w:w="461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r>
                    <w:rPr>
                      <w:rFonts w:hint="eastAsia"/>
                      <w:lang w:val="en-US" w:eastAsia="zh-CN"/>
                    </w:rPr>
                    <w:t>具体使用耗材/试剂种类和用量，示例如下：</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
                    <w:rPr>
                      <w:rFonts w:hint="eastAsia"/>
                    </w:rPr>
                  </w:pP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rPr>
                      <w:rFonts w:hint="eastAsia"/>
                    </w:rPr>
                  </w:pPr>
                </w:p>
              </w:tc>
            </w:tr>
            <w:tr>
              <w:trPr>
                <w:trHeight w:val="27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sz w:val="18"/>
                      <w:szCs w:val="21"/>
                    </w:rPr>
                  </w:pPr>
                  <w:r>
                    <w:rPr>
                      <w:rFonts w:hint="eastAsia" w:ascii="黑体" w:hAnsi="宋体" w:eastAsia="黑体" w:cs="黑体"/>
                      <w:i w:val="0"/>
                      <w:iCs w:val="0"/>
                      <w:color w:val="000000"/>
                      <w:kern w:val="0"/>
                      <w:sz w:val="21"/>
                      <w:szCs w:val="21"/>
                      <w:u w:val="none"/>
                      <w:lang w:val="en-US" w:eastAsia="zh-CN" w:bidi="ar"/>
                    </w:rPr>
                    <w:t>1</w:t>
                  </w:r>
                </w:p>
              </w:tc>
              <w:tc>
                <w:tcPr>
                  <w:tcW w:w="34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eastAsia="宋体"/>
                      <w:lang w:val="en-US" w:eastAsia="zh-CN"/>
                    </w:rPr>
                  </w:pPr>
                  <w:r>
                    <w:rPr>
                      <w:rFonts w:hint="eastAsia" w:ascii="宋体" w:hAnsi="宋体" w:eastAsia="宋体" w:cs="宋体"/>
                      <w:i w:val="0"/>
                      <w:iCs w:val="0"/>
                      <w:color w:val="000000"/>
                      <w:kern w:val="0"/>
                      <w:sz w:val="20"/>
                      <w:szCs w:val="20"/>
                      <w:u w:val="none"/>
                      <w:lang w:val="en-US" w:eastAsia="zh-CN" w:bidi="ar"/>
                    </w:rPr>
                    <w:t>Tip头</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无</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36000人份</w:t>
                  </w: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rPr>
                      <w:rFonts w:hint="default"/>
                      <w:lang w:val="en-US"/>
                    </w:rPr>
                  </w:pPr>
                </w:p>
              </w:tc>
            </w:tr>
            <w:tr>
              <w:tblPrEx>
                <w:tblCellMar>
                  <w:top w:w="0" w:type="dxa"/>
                  <w:left w:w="0" w:type="dxa"/>
                  <w:bottom w:w="0" w:type="dxa"/>
                  <w:right w:w="0" w:type="dxa"/>
                </w:tblCellMar>
              </w:tblPrEx>
              <w:trPr>
                <w:trHeight w:val="270" w:hRule="atLeast"/>
              </w:trPr>
              <w:tc>
                <w:tcPr>
                  <w:tcW w:w="1123"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default" w:ascii="黑体" w:hAnsi="宋体" w:eastAsia="黑体" w:cs="黑体"/>
                      <w:i w:val="0"/>
                      <w:iCs w:val="0"/>
                      <w:color w:val="000000"/>
                      <w:kern w:val="0"/>
                      <w:sz w:val="21"/>
                      <w:szCs w:val="21"/>
                      <w:u w:val="none"/>
                      <w:lang w:val="en-US" w:eastAsia="zh-CN" w:bidi="ar"/>
                    </w:rPr>
                    <w:t>2</w:t>
                  </w:r>
                </w:p>
              </w:tc>
              <w:tc>
                <w:tcPr>
                  <w:tcW w:w="34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病原脱氧核糖核酸检测（核酸提取）</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w:t>
                  </w:r>
                </w:p>
              </w:tc>
              <w:tc>
                <w:tcPr>
                  <w:tcW w:w="11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10000人份</w:t>
                  </w:r>
                </w:p>
              </w:tc>
              <w:tc>
                <w:tcPr>
                  <w:tcW w:w="2526" w:type="dxa"/>
                  <w:tcBorders>
                    <w:top w:val="single" w:color="000000" w:sz="4" w:space="0"/>
                    <w:left w:val="single" w:color="000000" w:sz="4" w:space="0"/>
                    <w:bottom w:val="single" w:color="000000" w:sz="4" w:space="0"/>
                    <w:right w:val="single" w:color="000000" w:sz="8" w:space="0"/>
                  </w:tcBorders>
                  <w:shd w:val="clear" w:color="auto" w:fill="auto"/>
                  <w:noWrap/>
                  <w:tcMar>
                    <w:top w:w="15" w:type="dxa"/>
                    <w:left w:w="15" w:type="dxa"/>
                    <w:right w:w="15" w:type="dxa"/>
                  </w:tcMar>
                  <w:vAlign w:val="center"/>
                </w:tcPr>
                <w:p>
                  <w:pPr>
                    <w:pStyle w:val="2"/>
                    <w:rPr>
                      <w:rFonts w:hint="eastAsia" w:eastAsia="黑体"/>
                      <w:lang w:eastAsia="zh-CN"/>
                    </w:rPr>
                  </w:pPr>
                </w:p>
              </w:tc>
            </w:tr>
            <w:tr>
              <w:tblPrEx>
                <w:tblCellMar>
                  <w:top w:w="0" w:type="dxa"/>
                  <w:left w:w="0" w:type="dxa"/>
                  <w:bottom w:w="0" w:type="dxa"/>
                  <w:right w:w="0" w:type="dxa"/>
                </w:tblCellMar>
              </w:tblPrEx>
              <w:trPr>
                <w:trHeight w:val="1470" w:hRule="atLeast"/>
              </w:trPr>
              <w:tc>
                <w:tcPr>
                  <w:tcW w:w="9355" w:type="dxa"/>
                  <w:gridSpan w:val="5"/>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pStyle w:val="2"/>
                    <w:rPr>
                      <w:rFonts w:hint="default"/>
                      <w:lang w:val="en-US" w:eastAsia="zh-CN"/>
                    </w:rPr>
                  </w:pPr>
                  <w:r>
                    <w:rPr>
                      <w:rFonts w:hint="eastAsia"/>
                      <w:lang w:val="en-US" w:eastAsia="zh-CN"/>
                    </w:rPr>
                    <w:t>说明：</w:t>
                  </w:r>
                  <w:r>
                    <w:rPr>
                      <w:rFonts w:hint="eastAsia"/>
                      <w:lang w:val="en-US" w:eastAsia="zh-CN"/>
                    </w:rPr>
                    <w:br w:type="textWrapping"/>
                  </w:r>
                  <w:r>
                    <w:rPr>
                      <w:rFonts w:hint="eastAsia"/>
                      <w:lang w:val="en-US" w:eastAsia="zh-CN"/>
                    </w:rPr>
                    <w:t>1.“必须开展的检测治疗所使用的耗材”是指临床已经批准并依托此设备开展的的诊疗项目配套使用的一次性耗材（投标供应商必须响应）。</w:t>
                  </w:r>
                </w:p>
                <w:p>
                  <w:pPr>
                    <w:pStyle w:val="2"/>
                    <w:rPr>
                      <w:rFonts w:hint="default"/>
                      <w:lang w:val="en-US" w:eastAsia="zh-CN"/>
                    </w:rPr>
                  </w:pPr>
                  <w:r>
                    <w:rPr>
                      <w:rFonts w:hint="eastAsia"/>
                      <w:highlight w:val="none"/>
                      <w:lang w:val="en-US" w:eastAsia="zh-CN"/>
                    </w:rPr>
                    <w:t>2.投标供应商须按所投设备中配套耗材进行报价，此报价作为后期设备配套耗材入院依据。</w:t>
                  </w:r>
                </w:p>
              </w:tc>
            </w:tr>
          </w:tbl>
          <w:p>
            <w:pPr>
              <w:pStyle w:val="2"/>
            </w:pP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rFonts w:hint="eastAsia"/>
                <w:lang w:val="en-US" w:eastAsia="zh-CN"/>
              </w:rPr>
            </w:pPr>
          </w:p>
          <w:p>
            <w:pPr>
              <w:pStyle w:val="2"/>
              <w:numPr>
                <w:ilvl w:val="0"/>
                <w:numId w:val="0"/>
              </w:numPr>
              <w:jc w:val="both"/>
              <w:rPr>
                <w:rFonts w:hint="eastAsia"/>
                <w:lang w:val="en-US" w:eastAsia="zh-CN"/>
              </w:rPr>
            </w:pPr>
          </w:p>
          <w:p>
            <w:pPr>
              <w:pStyle w:val="2"/>
              <w:numPr>
                <w:ilvl w:val="0"/>
                <w:numId w:val="0"/>
              </w:numPr>
              <w:jc w:val="both"/>
              <w:rPr>
                <w:rFonts w:hint="default"/>
                <w:lang w:val="en-US" w:eastAsia="zh-CN"/>
              </w:rP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2"/>
              <w:jc w:val="center"/>
            </w:pPr>
          </w:p>
        </w:tc>
      </w:tr>
      <w:tr>
        <w:tblPrEx>
          <w:tblCellMar>
            <w:top w:w="0" w:type="dxa"/>
            <w:left w:w="0" w:type="dxa"/>
            <w:bottom w:w="0" w:type="dxa"/>
            <w:right w:w="0" w:type="dxa"/>
          </w:tblCellMar>
        </w:tblPrEx>
        <w:trPr>
          <w:trHeight w:val="480" w:hRule="atLeast"/>
        </w:trPr>
        <w:tc>
          <w:tcPr>
            <w:tcW w:w="9385" w:type="dxa"/>
            <w:tcBorders>
              <w:top w:val="nil"/>
              <w:left w:val="nil"/>
              <w:bottom w:val="nil"/>
              <w:right w:val="nil"/>
            </w:tcBorders>
            <w:shd w:val="clear" w:color="auto" w:fill="auto"/>
            <w:noWrap/>
            <w:tcMar>
              <w:top w:w="15" w:type="dxa"/>
              <w:left w:w="15" w:type="dxa"/>
              <w:right w:w="15" w:type="dxa"/>
            </w:tcMar>
            <w:vAlign w:val="center"/>
          </w:tcPr>
          <w:p>
            <w:pPr>
              <w:pStyle w:val="2"/>
              <w:jc w:val="center"/>
            </w:pPr>
          </w:p>
        </w:tc>
      </w:tr>
      <w:bookmarkEnd w:id="17"/>
    </w:tbl>
    <w:p>
      <w:pPr>
        <w:pStyle w:val="2"/>
      </w:pPr>
      <w:bookmarkStart w:id="20" w:name="_GoBack"/>
      <w:bookmarkEnd w:id="20"/>
    </w:p>
    <w:sectPr>
      <w:headerReference r:id="rId4" w:type="default"/>
      <w:footerReference r:id="rId5"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D736D5"/>
    <w:rsid w:val="056137F9"/>
    <w:rsid w:val="056E3913"/>
    <w:rsid w:val="05F52267"/>
    <w:rsid w:val="062067FE"/>
    <w:rsid w:val="0638176E"/>
    <w:rsid w:val="06414B38"/>
    <w:rsid w:val="06C5540F"/>
    <w:rsid w:val="06E35166"/>
    <w:rsid w:val="075B0BE9"/>
    <w:rsid w:val="07661869"/>
    <w:rsid w:val="079306A1"/>
    <w:rsid w:val="07964368"/>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F054E"/>
    <w:rsid w:val="0D725B91"/>
    <w:rsid w:val="0D8B6CB4"/>
    <w:rsid w:val="0DA01DC9"/>
    <w:rsid w:val="0DB0424E"/>
    <w:rsid w:val="0DBB0DEE"/>
    <w:rsid w:val="0DC865D5"/>
    <w:rsid w:val="0E144B5A"/>
    <w:rsid w:val="0E9A161E"/>
    <w:rsid w:val="0EA9594B"/>
    <w:rsid w:val="0EC71214"/>
    <w:rsid w:val="0ED27C74"/>
    <w:rsid w:val="0FB115BC"/>
    <w:rsid w:val="10005604"/>
    <w:rsid w:val="102E2058"/>
    <w:rsid w:val="10356AEC"/>
    <w:rsid w:val="1047034B"/>
    <w:rsid w:val="10CB408F"/>
    <w:rsid w:val="111451B1"/>
    <w:rsid w:val="11395401"/>
    <w:rsid w:val="11C17EA7"/>
    <w:rsid w:val="11D01A3A"/>
    <w:rsid w:val="12E8676D"/>
    <w:rsid w:val="136441CE"/>
    <w:rsid w:val="139B1477"/>
    <w:rsid w:val="13EA1FDC"/>
    <w:rsid w:val="13F52F75"/>
    <w:rsid w:val="14332AA2"/>
    <w:rsid w:val="147772FB"/>
    <w:rsid w:val="14B46442"/>
    <w:rsid w:val="14F12F9B"/>
    <w:rsid w:val="14F65314"/>
    <w:rsid w:val="15485FCC"/>
    <w:rsid w:val="15507949"/>
    <w:rsid w:val="15685800"/>
    <w:rsid w:val="157955E3"/>
    <w:rsid w:val="15D849FF"/>
    <w:rsid w:val="15FB3D5A"/>
    <w:rsid w:val="16355837"/>
    <w:rsid w:val="16836C8F"/>
    <w:rsid w:val="16E93A50"/>
    <w:rsid w:val="17056FA9"/>
    <w:rsid w:val="17B00787"/>
    <w:rsid w:val="17D23449"/>
    <w:rsid w:val="18001A7B"/>
    <w:rsid w:val="180A108F"/>
    <w:rsid w:val="18485ABC"/>
    <w:rsid w:val="184B0E55"/>
    <w:rsid w:val="1856627D"/>
    <w:rsid w:val="18730A0F"/>
    <w:rsid w:val="18AB63FB"/>
    <w:rsid w:val="19734677"/>
    <w:rsid w:val="19794E78"/>
    <w:rsid w:val="199724DC"/>
    <w:rsid w:val="19C43469"/>
    <w:rsid w:val="1A811669"/>
    <w:rsid w:val="1AB561B1"/>
    <w:rsid w:val="1B1D15CE"/>
    <w:rsid w:val="1B23014C"/>
    <w:rsid w:val="1B560E08"/>
    <w:rsid w:val="1BBE4B40"/>
    <w:rsid w:val="1C031BE5"/>
    <w:rsid w:val="1C0E2F29"/>
    <w:rsid w:val="1C24556B"/>
    <w:rsid w:val="1C8164A5"/>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52270"/>
    <w:rsid w:val="223809DD"/>
    <w:rsid w:val="224B606F"/>
    <w:rsid w:val="22F75C0D"/>
    <w:rsid w:val="23050ADC"/>
    <w:rsid w:val="23712E8E"/>
    <w:rsid w:val="24252315"/>
    <w:rsid w:val="24781977"/>
    <w:rsid w:val="248F4E23"/>
    <w:rsid w:val="249B4BA3"/>
    <w:rsid w:val="25114177"/>
    <w:rsid w:val="25145103"/>
    <w:rsid w:val="255D5E59"/>
    <w:rsid w:val="25965C4A"/>
    <w:rsid w:val="25DA7C6D"/>
    <w:rsid w:val="2601765A"/>
    <w:rsid w:val="267F67D1"/>
    <w:rsid w:val="26AD6663"/>
    <w:rsid w:val="26EB6659"/>
    <w:rsid w:val="277E3593"/>
    <w:rsid w:val="278E6867"/>
    <w:rsid w:val="279D6C56"/>
    <w:rsid w:val="281178FD"/>
    <w:rsid w:val="28332D0A"/>
    <w:rsid w:val="283347A9"/>
    <w:rsid w:val="289522DC"/>
    <w:rsid w:val="28A05A55"/>
    <w:rsid w:val="28E8098A"/>
    <w:rsid w:val="28F85985"/>
    <w:rsid w:val="290F7096"/>
    <w:rsid w:val="29983F45"/>
    <w:rsid w:val="2A5C7F90"/>
    <w:rsid w:val="2AA24BD1"/>
    <w:rsid w:val="2AD20E52"/>
    <w:rsid w:val="2ADE5173"/>
    <w:rsid w:val="2B1967E5"/>
    <w:rsid w:val="2B91636A"/>
    <w:rsid w:val="2BAF56D3"/>
    <w:rsid w:val="2C3D0F42"/>
    <w:rsid w:val="2C7F7652"/>
    <w:rsid w:val="2D177764"/>
    <w:rsid w:val="2D2F28DA"/>
    <w:rsid w:val="2D5A4C55"/>
    <w:rsid w:val="2E362DFD"/>
    <w:rsid w:val="2E8B42EF"/>
    <w:rsid w:val="2F0C3B85"/>
    <w:rsid w:val="2F6B4D97"/>
    <w:rsid w:val="2F7013AD"/>
    <w:rsid w:val="2FBF67B6"/>
    <w:rsid w:val="2FDE4A6E"/>
    <w:rsid w:val="2FF31239"/>
    <w:rsid w:val="2FF92A21"/>
    <w:rsid w:val="2FFB511A"/>
    <w:rsid w:val="30123F35"/>
    <w:rsid w:val="301D46EF"/>
    <w:rsid w:val="301F4AC5"/>
    <w:rsid w:val="30286A6E"/>
    <w:rsid w:val="30532B78"/>
    <w:rsid w:val="305D16B7"/>
    <w:rsid w:val="30620FBF"/>
    <w:rsid w:val="308257C0"/>
    <w:rsid w:val="3157022F"/>
    <w:rsid w:val="31EA6FC6"/>
    <w:rsid w:val="320F28D1"/>
    <w:rsid w:val="321708DA"/>
    <w:rsid w:val="32433D6A"/>
    <w:rsid w:val="32AF5D7F"/>
    <w:rsid w:val="33654C87"/>
    <w:rsid w:val="336D293D"/>
    <w:rsid w:val="336F74D3"/>
    <w:rsid w:val="33CF762A"/>
    <w:rsid w:val="34435BAB"/>
    <w:rsid w:val="34C43ADF"/>
    <w:rsid w:val="34F9702C"/>
    <w:rsid w:val="352658CA"/>
    <w:rsid w:val="35460AE9"/>
    <w:rsid w:val="354B123B"/>
    <w:rsid w:val="355235E6"/>
    <w:rsid w:val="35541A83"/>
    <w:rsid w:val="35C91DF7"/>
    <w:rsid w:val="36044CAC"/>
    <w:rsid w:val="361F1F7B"/>
    <w:rsid w:val="367A4403"/>
    <w:rsid w:val="36AC405D"/>
    <w:rsid w:val="37215A4D"/>
    <w:rsid w:val="372907BF"/>
    <w:rsid w:val="377E6969"/>
    <w:rsid w:val="37C2536E"/>
    <w:rsid w:val="38194CD8"/>
    <w:rsid w:val="388C61A6"/>
    <w:rsid w:val="38C26B8B"/>
    <w:rsid w:val="39151A6B"/>
    <w:rsid w:val="394E3479"/>
    <w:rsid w:val="39C93726"/>
    <w:rsid w:val="39E9692C"/>
    <w:rsid w:val="3A116D8F"/>
    <w:rsid w:val="3A2F2590"/>
    <w:rsid w:val="3A98180C"/>
    <w:rsid w:val="3B0B1CD3"/>
    <w:rsid w:val="3B267225"/>
    <w:rsid w:val="3B670783"/>
    <w:rsid w:val="3BC0272D"/>
    <w:rsid w:val="3BF577D5"/>
    <w:rsid w:val="3BFE2290"/>
    <w:rsid w:val="3C2679C3"/>
    <w:rsid w:val="3C8B022B"/>
    <w:rsid w:val="3C8D1213"/>
    <w:rsid w:val="3CCC6301"/>
    <w:rsid w:val="3CEB7FA9"/>
    <w:rsid w:val="3D1D2E2F"/>
    <w:rsid w:val="3D211BF7"/>
    <w:rsid w:val="3DB03FCF"/>
    <w:rsid w:val="3E785FB8"/>
    <w:rsid w:val="3F4B03B7"/>
    <w:rsid w:val="3FA8634D"/>
    <w:rsid w:val="40174A30"/>
    <w:rsid w:val="401D4E59"/>
    <w:rsid w:val="4065796E"/>
    <w:rsid w:val="40930E70"/>
    <w:rsid w:val="40DD379C"/>
    <w:rsid w:val="40F97159"/>
    <w:rsid w:val="41294305"/>
    <w:rsid w:val="41335680"/>
    <w:rsid w:val="417B705C"/>
    <w:rsid w:val="421734DD"/>
    <w:rsid w:val="42B9463A"/>
    <w:rsid w:val="42C817D4"/>
    <w:rsid w:val="43805C0B"/>
    <w:rsid w:val="43913633"/>
    <w:rsid w:val="44213F6B"/>
    <w:rsid w:val="447A578E"/>
    <w:rsid w:val="44E67CEF"/>
    <w:rsid w:val="45432F62"/>
    <w:rsid w:val="456E5BFE"/>
    <w:rsid w:val="460D46A1"/>
    <w:rsid w:val="462D4FBC"/>
    <w:rsid w:val="46623CEE"/>
    <w:rsid w:val="46B13A3A"/>
    <w:rsid w:val="46E93826"/>
    <w:rsid w:val="475D7356"/>
    <w:rsid w:val="47924D0C"/>
    <w:rsid w:val="4793314D"/>
    <w:rsid w:val="47D204E7"/>
    <w:rsid w:val="48A40123"/>
    <w:rsid w:val="49137521"/>
    <w:rsid w:val="497007F8"/>
    <w:rsid w:val="498D67EF"/>
    <w:rsid w:val="49A90785"/>
    <w:rsid w:val="49CA32E3"/>
    <w:rsid w:val="49E2423F"/>
    <w:rsid w:val="4A605A19"/>
    <w:rsid w:val="4A7364C9"/>
    <w:rsid w:val="4B3C2D5F"/>
    <w:rsid w:val="4B5D1177"/>
    <w:rsid w:val="4B6F0F36"/>
    <w:rsid w:val="4B906536"/>
    <w:rsid w:val="4C104E92"/>
    <w:rsid w:val="4C920651"/>
    <w:rsid w:val="4CB01703"/>
    <w:rsid w:val="4D11598E"/>
    <w:rsid w:val="4DA22CF1"/>
    <w:rsid w:val="4DE310EA"/>
    <w:rsid w:val="4E21448E"/>
    <w:rsid w:val="4EB2424D"/>
    <w:rsid w:val="4ED02ABC"/>
    <w:rsid w:val="4F786330"/>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9B7D0B"/>
    <w:rsid w:val="54A52428"/>
    <w:rsid w:val="54D47C04"/>
    <w:rsid w:val="55120D38"/>
    <w:rsid w:val="55C45A9E"/>
    <w:rsid w:val="55DD106E"/>
    <w:rsid w:val="56633896"/>
    <w:rsid w:val="56A74609"/>
    <w:rsid w:val="56F21F6A"/>
    <w:rsid w:val="57082508"/>
    <w:rsid w:val="57162213"/>
    <w:rsid w:val="571921A6"/>
    <w:rsid w:val="57467B5E"/>
    <w:rsid w:val="57967DEC"/>
    <w:rsid w:val="57F877CD"/>
    <w:rsid w:val="583B6311"/>
    <w:rsid w:val="585711D8"/>
    <w:rsid w:val="58761C33"/>
    <w:rsid w:val="5893260B"/>
    <w:rsid w:val="593C2FEB"/>
    <w:rsid w:val="59720743"/>
    <w:rsid w:val="59733901"/>
    <w:rsid w:val="598857F5"/>
    <w:rsid w:val="5A4E03B9"/>
    <w:rsid w:val="5AFB7AD1"/>
    <w:rsid w:val="5B2B2018"/>
    <w:rsid w:val="5B527B7E"/>
    <w:rsid w:val="5B5D2ABA"/>
    <w:rsid w:val="5B7823D8"/>
    <w:rsid w:val="5B9A423C"/>
    <w:rsid w:val="5CAC34CD"/>
    <w:rsid w:val="5D254C84"/>
    <w:rsid w:val="5D6C6C8A"/>
    <w:rsid w:val="5DD06B0E"/>
    <w:rsid w:val="5E201C96"/>
    <w:rsid w:val="5E6145A8"/>
    <w:rsid w:val="5ED209B4"/>
    <w:rsid w:val="5ED93F33"/>
    <w:rsid w:val="5F176273"/>
    <w:rsid w:val="5F49114F"/>
    <w:rsid w:val="6074295A"/>
    <w:rsid w:val="608B7476"/>
    <w:rsid w:val="60BD055D"/>
    <w:rsid w:val="60E55162"/>
    <w:rsid w:val="61285F53"/>
    <w:rsid w:val="6194510C"/>
    <w:rsid w:val="61A66D2D"/>
    <w:rsid w:val="621B4377"/>
    <w:rsid w:val="6235591B"/>
    <w:rsid w:val="62532AF1"/>
    <w:rsid w:val="631B2E02"/>
    <w:rsid w:val="636E6542"/>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EB44C2"/>
    <w:rsid w:val="6A447E53"/>
    <w:rsid w:val="6AAA2F07"/>
    <w:rsid w:val="6AC975E8"/>
    <w:rsid w:val="6B2249B9"/>
    <w:rsid w:val="6B4D7069"/>
    <w:rsid w:val="6B89470E"/>
    <w:rsid w:val="6BA53D24"/>
    <w:rsid w:val="6C005144"/>
    <w:rsid w:val="6C040369"/>
    <w:rsid w:val="6CDC65FE"/>
    <w:rsid w:val="6D346FC3"/>
    <w:rsid w:val="6DF34A18"/>
    <w:rsid w:val="6E146BD3"/>
    <w:rsid w:val="6E5B6CCE"/>
    <w:rsid w:val="6E745FB9"/>
    <w:rsid w:val="6E9323E7"/>
    <w:rsid w:val="6ED80D5B"/>
    <w:rsid w:val="6EF90F71"/>
    <w:rsid w:val="6F302F9F"/>
    <w:rsid w:val="6F921FFF"/>
    <w:rsid w:val="6FA972EE"/>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54C43EF"/>
    <w:rsid w:val="758F3DCE"/>
    <w:rsid w:val="75A53FD5"/>
    <w:rsid w:val="75C345F2"/>
    <w:rsid w:val="75E21EF3"/>
    <w:rsid w:val="76742AFE"/>
    <w:rsid w:val="768974AA"/>
    <w:rsid w:val="76FE1A22"/>
    <w:rsid w:val="771A40AF"/>
    <w:rsid w:val="773C13D0"/>
    <w:rsid w:val="774A5A88"/>
    <w:rsid w:val="778C765A"/>
    <w:rsid w:val="78034139"/>
    <w:rsid w:val="781E4E38"/>
    <w:rsid w:val="782B1B38"/>
    <w:rsid w:val="78536B31"/>
    <w:rsid w:val="78C642A1"/>
    <w:rsid w:val="78E84F71"/>
    <w:rsid w:val="79172916"/>
    <w:rsid w:val="792D1243"/>
    <w:rsid w:val="79691867"/>
    <w:rsid w:val="79EB6A00"/>
    <w:rsid w:val="79ED48C6"/>
    <w:rsid w:val="7A63452D"/>
    <w:rsid w:val="7A8C5157"/>
    <w:rsid w:val="7A982DC0"/>
    <w:rsid w:val="7ACB7EFF"/>
    <w:rsid w:val="7AD17096"/>
    <w:rsid w:val="7B0C05E9"/>
    <w:rsid w:val="7B2D5522"/>
    <w:rsid w:val="7BEF3783"/>
    <w:rsid w:val="7BEF74D5"/>
    <w:rsid w:val="7C1903CF"/>
    <w:rsid w:val="7C5424EB"/>
    <w:rsid w:val="7CE80AE0"/>
    <w:rsid w:val="7D8D5B6F"/>
    <w:rsid w:val="7DE06757"/>
    <w:rsid w:val="7DF66E26"/>
    <w:rsid w:val="7E1305AC"/>
    <w:rsid w:val="7E2A60D5"/>
    <w:rsid w:val="7EC44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140</Pages>
  <Words>46311</Words>
  <Characters>48499</Characters>
  <Lines>408</Lines>
  <Paragraphs>115</Paragraphs>
  <TotalTime>2</TotalTime>
  <ScaleCrop>false</ScaleCrop>
  <LinksUpToDate>false</LinksUpToDate>
  <CharactersWithSpaces>54712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2024-03-01T02:04:00Z</cp:lastPrinted>
  <dcterms:modified xsi:type="dcterms:W3CDTF">2024-03-08T00:11:40Z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