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after="0" w:line="560" w:lineRule="exact"/>
        <w:ind w:firstLine="560"/>
        <w:rPr>
          <w:rFonts w:ascii="黑体" w:hAnsi="黑体" w:eastAsia="黑体" w:cs="黑体"/>
          <w:b w:val="0"/>
          <w:sz w:val="28"/>
          <w:szCs w:val="28"/>
          <w:highlight w:val="none"/>
        </w:rPr>
      </w:pPr>
      <w:bookmarkStart w:id="0" w:name="_Toc18141"/>
      <w:bookmarkStart w:id="1" w:name="_Toc128772337"/>
      <w:bookmarkStart w:id="2" w:name="_Toc32238"/>
      <w:bookmarkStart w:id="3" w:name="_Toc130887812"/>
      <w:bookmarkStart w:id="4" w:name="_Toc128150572"/>
      <w:bookmarkStart w:id="5" w:name="_Toc16726"/>
      <w:bookmarkStart w:id="6" w:name="_Toc121473169"/>
      <w:bookmarkStart w:id="7" w:name="_Toc4845"/>
      <w:bookmarkStart w:id="8" w:name="_Toc112681847"/>
      <w:bookmarkStart w:id="9" w:name="_Toc112768493"/>
      <w:bookmarkStart w:id="10" w:name="_Toc21092"/>
      <w:bookmarkStart w:id="11" w:name="_Toc24932"/>
      <w:bookmarkStart w:id="12" w:name="_Toc132399047"/>
      <w:bookmarkStart w:id="13" w:name="_Toc21431"/>
      <w:bookmarkStart w:id="14" w:name="_Toc113349540"/>
      <w:bookmarkStart w:id="15" w:name="_Toc19477"/>
      <w:bookmarkStart w:id="16" w:name="_Toc128150765"/>
      <w:r>
        <w:rPr>
          <w:rFonts w:hint="eastAsia" w:ascii="黑体" w:hAnsi="黑体" w:eastAsia="黑体" w:cs="黑体"/>
          <w:b w:val="0"/>
          <w:sz w:val="28"/>
          <w:szCs w:val="28"/>
          <w:highlight w:val="none"/>
        </w:rPr>
        <w:t>一、商务要求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hint="eastAsia" w:hAnsi="宋体"/>
          <w:bCs/>
          <w:sz w:val="28"/>
          <w:szCs w:val="28"/>
          <w:highlight w:val="none"/>
          <w:lang w:val="en-US" w:eastAsia="zh-CN"/>
        </w:rPr>
        <w:t>(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商务要求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val="en-US" w:eastAsia="zh-CN"/>
        </w:rPr>
        <w:t>均为实质性响应条款，不允许负偏离</w:t>
      </w:r>
      <w:r>
        <w:rPr>
          <w:rFonts w:hint="eastAsia" w:hAnsi="宋体"/>
          <w:bCs/>
          <w:sz w:val="28"/>
          <w:szCs w:val="28"/>
          <w:highlight w:val="none"/>
          <w:lang w:val="en-US" w:eastAsia="zh-CN"/>
        </w:rPr>
        <w:t>)</w:t>
      </w:r>
    </w:p>
    <w:p>
      <w:pPr>
        <w:pStyle w:val="16"/>
        <w:spacing w:line="560" w:lineRule="exact"/>
        <w:ind w:firstLine="560"/>
        <w:rPr>
          <w:rFonts w:hint="eastAsia" w:hAnsi="宋体"/>
          <w:sz w:val="28"/>
          <w:szCs w:val="28"/>
          <w:highlight w:val="none"/>
        </w:rPr>
      </w:pPr>
      <w:r>
        <w:rPr>
          <w:rFonts w:hAnsi="宋体"/>
          <w:sz w:val="28"/>
          <w:szCs w:val="28"/>
          <w:highlight w:val="none"/>
          <w:lang w:val="zh-CN"/>
        </w:rPr>
        <w:t>（一）</w:t>
      </w:r>
      <w:r>
        <w:rPr>
          <w:rFonts w:hAnsi="宋体"/>
          <w:sz w:val="28"/>
          <w:szCs w:val="28"/>
          <w:highlight w:val="none"/>
        </w:rPr>
        <w:t>交</w:t>
      </w:r>
      <w:r>
        <w:rPr>
          <w:rFonts w:hint="eastAsia" w:hAnsi="宋体"/>
          <w:sz w:val="28"/>
          <w:szCs w:val="28"/>
          <w:highlight w:val="none"/>
        </w:rPr>
        <w:t>付（服务）</w:t>
      </w:r>
      <w:r>
        <w:rPr>
          <w:rFonts w:hAnsi="宋体"/>
          <w:sz w:val="28"/>
          <w:szCs w:val="28"/>
          <w:highlight w:val="none"/>
        </w:rPr>
        <w:t>时间、地点</w:t>
      </w:r>
      <w:r>
        <w:rPr>
          <w:rFonts w:hint="eastAsia" w:hAnsi="宋体"/>
          <w:sz w:val="28"/>
          <w:szCs w:val="28"/>
          <w:highlight w:val="none"/>
        </w:rPr>
        <w:t>和方式</w:t>
      </w:r>
    </w:p>
    <w:p>
      <w:pPr>
        <w:pStyle w:val="16"/>
        <w:spacing w:line="560" w:lineRule="exact"/>
        <w:ind w:firstLine="560"/>
        <w:rPr>
          <w:rFonts w:hint="eastAsia" w:ascii="宋体" w:hAnsi="宋体" w:eastAsia="宋体" w:cs="Times New Roman"/>
          <w:kern w:val="2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Times New Roman"/>
          <w:kern w:val="2"/>
          <w:sz w:val="28"/>
          <w:szCs w:val="28"/>
          <w:highlight w:val="none"/>
          <w:lang w:val="zh-CN"/>
        </w:rPr>
        <w:t>1.服务时间：服务续期期限为</w:t>
      </w:r>
      <w:r>
        <w:rPr>
          <w:rFonts w:hint="eastAsia" w:ascii="宋体" w:hAnsi="宋体" w:cs="Times New Roman"/>
          <w:kern w:val="2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eastAsia="宋体" w:cs="Times New Roman"/>
          <w:kern w:val="2"/>
          <w:sz w:val="28"/>
          <w:szCs w:val="28"/>
          <w:highlight w:val="none"/>
          <w:lang w:val="zh-CN"/>
        </w:rPr>
        <w:t>年</w:t>
      </w:r>
    </w:p>
    <w:p>
      <w:pPr>
        <w:pStyle w:val="16"/>
        <w:spacing w:line="560" w:lineRule="exact"/>
        <w:ind w:firstLine="560"/>
        <w:rPr>
          <w:rFonts w:hint="eastAsia" w:ascii="宋体" w:hAnsi="宋体" w:eastAsia="宋体" w:cs="Times New Roman"/>
          <w:kern w:val="2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Times New Roman"/>
          <w:kern w:val="2"/>
          <w:sz w:val="28"/>
          <w:szCs w:val="28"/>
          <w:highlight w:val="none"/>
          <w:lang w:val="zh-CN"/>
        </w:rPr>
        <w:t>2.服务地点：甲方拟定交付地点。</w:t>
      </w:r>
    </w:p>
    <w:p>
      <w:pPr>
        <w:pStyle w:val="16"/>
        <w:spacing w:line="560" w:lineRule="exact"/>
        <w:ind w:firstLine="560"/>
        <w:rPr>
          <w:rFonts w:hint="eastAsia" w:ascii="Times New Roman" w:hAnsi="Times New Roman" w:eastAsia="宋体" w:cs="Times New Roman"/>
          <w:sz w:val="28"/>
          <w:szCs w:val="28"/>
          <w:highlight w:val="none"/>
          <w:lang w:val="zh-CN"/>
        </w:rPr>
      </w:pPr>
      <w:r>
        <w:rPr>
          <w:rFonts w:hint="eastAsia" w:ascii="Times New Roman" w:hAnsi="Times New Roman" w:eastAsia="宋体" w:cs="Times New Roman"/>
          <w:sz w:val="28"/>
          <w:szCs w:val="28"/>
          <w:highlight w:val="none"/>
          <w:lang w:val="zh-CN"/>
        </w:rPr>
        <w:t>（二）售后服务</w:t>
      </w:r>
    </w:p>
    <w:tbl>
      <w:tblPr>
        <w:tblStyle w:val="8"/>
        <w:tblW w:w="87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9"/>
        <w:gridCol w:w="4891"/>
        <w:gridCol w:w="1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9" w:type="dxa"/>
            <w:vAlign w:val="center"/>
          </w:tcPr>
          <w:p>
            <w:pPr>
              <w:jc w:val="both"/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highlight w:val="none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highlight w:val="none"/>
                <w:lang w:val="zh-CN" w:eastAsia="zh-CN" w:bidi="ar-SA"/>
              </w:rPr>
              <w:t>售后服务1（质保）</w:t>
            </w:r>
          </w:p>
        </w:tc>
        <w:tc>
          <w:tcPr>
            <w:tcW w:w="4891" w:type="dxa"/>
            <w:vAlign w:val="center"/>
          </w:tcPr>
          <w:p>
            <w:pPr>
              <w:jc w:val="both"/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highlight w:val="none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highlight w:val="none"/>
                <w:lang w:val="zh-CN" w:eastAsia="zh-CN" w:bidi="ar-SA"/>
              </w:rPr>
              <w:t>每年至少提供2次校准和4次保养服务，包括设备安全检查、影像质量检查、设备除尘保养、运行状态检查、更换易损耗件等，定期向院方提供书面保养报告及整机质量评估报告。</w:t>
            </w:r>
          </w:p>
        </w:tc>
        <w:tc>
          <w:tcPr>
            <w:tcW w:w="176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highlight w:val="none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highlight w:val="none"/>
                <w:lang w:val="zh-CN" w:eastAsia="zh-CN" w:bidi="ar-SA"/>
              </w:rPr>
              <w:t>企业承诺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9" w:type="dxa"/>
            <w:vAlign w:val="center"/>
          </w:tcPr>
          <w:p>
            <w:pPr>
              <w:jc w:val="both"/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highlight w:val="none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highlight w:val="none"/>
                <w:lang w:val="zh-CN" w:eastAsia="zh-CN" w:bidi="ar-SA"/>
              </w:rPr>
              <w:t>售后服务2（质保）</w:t>
            </w:r>
          </w:p>
        </w:tc>
        <w:tc>
          <w:tcPr>
            <w:tcW w:w="4891" w:type="dxa"/>
            <w:vAlign w:val="center"/>
          </w:tcPr>
          <w:p>
            <w:pPr>
              <w:jc w:val="both"/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highlight w:val="none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highlight w:val="none"/>
                <w:lang w:val="zh-CN" w:eastAsia="zh-CN" w:bidi="ar-SA"/>
              </w:rPr>
              <w:t>提供一次工程师培训和一次临床应用培训，并颁发相关证书。应满足我院维修工程师可对基本故障的维修，并颁发相关证书。</w:t>
            </w:r>
          </w:p>
        </w:tc>
        <w:tc>
          <w:tcPr>
            <w:tcW w:w="176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highlight w:val="none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highlight w:val="none"/>
                <w:lang w:val="zh-CN" w:eastAsia="zh-CN" w:bidi="ar-SA"/>
              </w:rPr>
              <w:t>企业承诺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9" w:type="dxa"/>
            <w:vAlign w:val="center"/>
          </w:tcPr>
          <w:p>
            <w:pPr>
              <w:jc w:val="both"/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highlight w:val="none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highlight w:val="none"/>
                <w:lang w:val="zh-CN" w:eastAsia="zh-CN" w:bidi="ar-SA"/>
              </w:rPr>
              <w:t>售后服务3（响应时间）</w:t>
            </w:r>
          </w:p>
        </w:tc>
        <w:tc>
          <w:tcPr>
            <w:tcW w:w="4891" w:type="dxa"/>
            <w:vAlign w:val="center"/>
          </w:tcPr>
          <w:p>
            <w:pPr>
              <w:jc w:val="both"/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highlight w:val="none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highlight w:val="none"/>
                <w:lang w:val="zh-CN" w:eastAsia="zh-CN" w:bidi="ar-SA"/>
              </w:rPr>
              <w:t>维修响应时间：≤2小时；工程师现场响应时间≤24小时。更换的配件到货安装时间如下：国内库房常规备件：≤36小时；国内无货需国外库发货：≤7天；如遇备件全球缺货或特殊情况，双方协商供货周期。</w:t>
            </w:r>
          </w:p>
        </w:tc>
        <w:tc>
          <w:tcPr>
            <w:tcW w:w="176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highlight w:val="none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highlight w:val="none"/>
                <w:lang w:val="zh-CN" w:eastAsia="zh-CN" w:bidi="ar-SA"/>
              </w:rPr>
              <w:t>企业承诺</w:t>
            </w:r>
          </w:p>
        </w:tc>
      </w:tr>
    </w:tbl>
    <w:p>
      <w:pPr>
        <w:pStyle w:val="16"/>
        <w:spacing w:line="560" w:lineRule="exact"/>
        <w:ind w:firstLine="560"/>
        <w:rPr>
          <w:sz w:val="28"/>
          <w:szCs w:val="28"/>
          <w:highlight w:val="none"/>
        </w:rPr>
      </w:pPr>
      <w:r>
        <w:rPr>
          <w:rFonts w:hAnsi="宋体"/>
          <w:sz w:val="28"/>
          <w:szCs w:val="28"/>
          <w:highlight w:val="none"/>
          <w:lang w:val="zh-CN"/>
        </w:rPr>
        <w:t>（</w:t>
      </w:r>
      <w:r>
        <w:rPr>
          <w:rFonts w:hint="eastAsia" w:hAnsi="宋体"/>
          <w:sz w:val="28"/>
          <w:szCs w:val="28"/>
          <w:highlight w:val="none"/>
        </w:rPr>
        <w:t>三</w:t>
      </w:r>
      <w:r>
        <w:rPr>
          <w:rFonts w:hAnsi="宋体"/>
          <w:sz w:val="28"/>
          <w:szCs w:val="28"/>
          <w:highlight w:val="none"/>
          <w:lang w:val="zh-CN"/>
        </w:rPr>
        <w:t>）</w:t>
      </w:r>
      <w:r>
        <w:rPr>
          <w:rFonts w:hint="eastAsia" w:hAnsi="宋体"/>
          <w:sz w:val="28"/>
          <w:szCs w:val="28"/>
          <w:highlight w:val="none"/>
        </w:rPr>
        <w:t>知识产权</w:t>
      </w:r>
      <w:r>
        <w:rPr>
          <w:rFonts w:hAnsi="宋体"/>
          <w:sz w:val="28"/>
          <w:szCs w:val="28"/>
          <w:highlight w:val="none"/>
        </w:rPr>
        <w:t>和保密要求</w:t>
      </w:r>
    </w:p>
    <w:p>
      <w:pPr>
        <w:pStyle w:val="16"/>
        <w:spacing w:line="560" w:lineRule="exact"/>
        <w:ind w:firstLine="560"/>
        <w:rPr>
          <w:sz w:val="28"/>
          <w:szCs w:val="28"/>
          <w:highlight w:val="none"/>
          <w:lang w:val="zh-CN"/>
        </w:rPr>
      </w:pPr>
      <w:r>
        <w:rPr>
          <w:rFonts w:hint="eastAsia"/>
          <w:sz w:val="28"/>
          <w:szCs w:val="28"/>
          <w:highlight w:val="none"/>
          <w:lang w:val="zh-CN"/>
        </w:rPr>
        <w:t>对采购单位提供的人员、地址、采购情况等信息要保守秘密，不得向外界透露。</w:t>
      </w:r>
      <w:r>
        <w:rPr>
          <w:rFonts w:hint="eastAsia"/>
          <w:sz w:val="28"/>
          <w:szCs w:val="28"/>
          <w:highlight w:val="none"/>
        </w:rPr>
        <w:t>成交</w:t>
      </w:r>
      <w:r>
        <w:rPr>
          <w:rFonts w:hint="eastAsia"/>
          <w:sz w:val="28"/>
          <w:szCs w:val="28"/>
          <w:highlight w:val="none"/>
          <w:lang w:val="zh-CN"/>
        </w:rPr>
        <w:t>通知书发出后，采购单位将与</w:t>
      </w:r>
      <w:r>
        <w:rPr>
          <w:rFonts w:hint="eastAsia"/>
          <w:sz w:val="28"/>
          <w:szCs w:val="28"/>
          <w:highlight w:val="none"/>
        </w:rPr>
        <w:t>成交</w:t>
      </w:r>
      <w:r>
        <w:rPr>
          <w:rFonts w:hint="eastAsia"/>
          <w:sz w:val="28"/>
          <w:szCs w:val="28"/>
          <w:highlight w:val="none"/>
          <w:lang w:val="zh-CN"/>
        </w:rPr>
        <w:t>供应商签订保密协议。</w:t>
      </w:r>
    </w:p>
    <w:p>
      <w:pPr>
        <w:pStyle w:val="16"/>
        <w:spacing w:line="560" w:lineRule="exact"/>
        <w:ind w:firstLine="560"/>
        <w:rPr>
          <w:sz w:val="28"/>
          <w:szCs w:val="28"/>
          <w:highlight w:val="none"/>
          <w:lang w:val="zh-CN"/>
        </w:rPr>
      </w:pPr>
      <w:r>
        <w:rPr>
          <w:rFonts w:hint="eastAsia"/>
          <w:sz w:val="28"/>
          <w:szCs w:val="28"/>
          <w:highlight w:val="none"/>
          <w:lang w:val="zh-CN"/>
        </w:rPr>
        <w:t>基于项目合同履行形成的知识产权和其他权益，其权属归采购单位所有，法律另有规定的除外。</w:t>
      </w:r>
    </w:p>
    <w:p>
      <w:pPr>
        <w:pStyle w:val="16"/>
        <w:spacing w:line="560" w:lineRule="exact"/>
        <w:ind w:firstLine="56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（</w:t>
      </w:r>
      <w:r>
        <w:rPr>
          <w:rFonts w:hint="eastAsia"/>
          <w:sz w:val="28"/>
          <w:szCs w:val="28"/>
          <w:highlight w:val="none"/>
        </w:rPr>
        <w:t>四</w:t>
      </w:r>
      <w:r>
        <w:rPr>
          <w:sz w:val="28"/>
          <w:szCs w:val="28"/>
          <w:highlight w:val="none"/>
        </w:rPr>
        <w:t>）</w:t>
      </w:r>
      <w:r>
        <w:rPr>
          <w:rFonts w:hint="eastAsia"/>
          <w:sz w:val="28"/>
          <w:szCs w:val="28"/>
          <w:highlight w:val="none"/>
        </w:rPr>
        <w:t>物资编目编码、打码贴签</w:t>
      </w:r>
      <w:r>
        <w:rPr>
          <w:sz w:val="28"/>
          <w:szCs w:val="28"/>
          <w:highlight w:val="none"/>
        </w:rPr>
        <w:t>要求</w:t>
      </w:r>
    </w:p>
    <w:p>
      <w:pPr>
        <w:pStyle w:val="16"/>
        <w:spacing w:line="560" w:lineRule="exact"/>
        <w:ind w:firstLine="56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本项目服务所含配套物资有编目编码、打码贴签要求的，报价供应商应当予以明确响应，相关费用包含在报价中。</w:t>
      </w:r>
    </w:p>
    <w:p>
      <w:pPr>
        <w:pStyle w:val="16"/>
        <w:spacing w:line="560" w:lineRule="exact"/>
        <w:ind w:firstLine="560"/>
        <w:rPr>
          <w:rFonts w:ascii="宋体" w:hAnsi="宋体"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sz w:val="28"/>
          <w:szCs w:val="28"/>
          <w:highlight w:val="none"/>
          <w:lang w:val="zh-CN"/>
        </w:rPr>
        <w:t>（</w:t>
      </w:r>
      <w:r>
        <w:rPr>
          <w:rFonts w:hint="eastAsia" w:ascii="宋体" w:hAnsi="宋体"/>
          <w:sz w:val="28"/>
          <w:szCs w:val="28"/>
          <w:highlight w:val="none"/>
        </w:rPr>
        <w:t>五</w:t>
      </w:r>
      <w:r>
        <w:rPr>
          <w:rFonts w:hint="eastAsia" w:ascii="宋体" w:hAnsi="宋体"/>
          <w:sz w:val="28"/>
          <w:szCs w:val="28"/>
          <w:highlight w:val="none"/>
          <w:lang w:val="zh-CN"/>
        </w:rPr>
        <w:t>）付款及结算方式</w:t>
      </w:r>
    </w:p>
    <w:p>
      <w:pPr>
        <w:pStyle w:val="4"/>
        <w:spacing w:before="0" w:after="0" w:line="560" w:lineRule="exact"/>
        <w:ind w:firstLine="560"/>
        <w:rPr>
          <w:rFonts w:hint="eastAsia" w:ascii="Times New Roman" w:hAnsi="Times New Roman" w:eastAsia="宋体" w:cs="Times New Roman"/>
          <w:b w:val="0"/>
          <w:bCs w:val="0"/>
          <w:kern w:val="0"/>
          <w:sz w:val="28"/>
          <w:szCs w:val="28"/>
          <w:highlight w:val="none"/>
          <w:lang w:val="en-US" w:eastAsia="zh-CN" w:bidi="ar-SA"/>
        </w:rPr>
      </w:pPr>
      <w:bookmarkStart w:id="17" w:name="_Toc128772338"/>
      <w:bookmarkStart w:id="18" w:name="_Toc132399048"/>
      <w:bookmarkStart w:id="19" w:name="_Toc128150766"/>
      <w:bookmarkStart w:id="20" w:name="_Toc128150573"/>
      <w:bookmarkStart w:id="21" w:name="_Toc130887813"/>
      <w:r>
        <w:rPr>
          <w:rFonts w:hint="eastAsia" w:ascii="Times New Roman" w:hAnsi="Times New Roman" w:eastAsia="宋体" w:cs="Times New Roman"/>
          <w:b w:val="0"/>
          <w:bCs w:val="0"/>
          <w:kern w:val="0"/>
          <w:sz w:val="28"/>
          <w:szCs w:val="28"/>
          <w:highlight w:val="none"/>
          <w:lang w:val="en-US" w:eastAsia="zh-CN" w:bidi="ar-SA"/>
        </w:rPr>
        <w:t>按年支付。每期合同执行50%后，甲方支付乙方当年服务费50%；合同执行全部完成，且验收合格后，甲方再支付另外的50%。</w:t>
      </w:r>
    </w:p>
    <w:p>
      <w:pPr>
        <w:rPr>
          <w:rFonts w:hint="eastAsia" w:ascii="Times New Roman" w:hAnsi="Times New Roman" w:eastAsia="宋体" w:cs="Times New Roman"/>
          <w:b w:val="0"/>
          <w:bCs w:val="0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kern w:val="0"/>
          <w:sz w:val="28"/>
          <w:szCs w:val="28"/>
          <w:highlight w:val="none"/>
          <w:lang w:val="en-US" w:eastAsia="zh-CN" w:bidi="ar-SA"/>
        </w:rPr>
        <w:br w:type="page"/>
      </w:r>
    </w:p>
    <w:p>
      <w:pPr>
        <w:pStyle w:val="4"/>
        <w:spacing w:before="0" w:after="0" w:line="560" w:lineRule="exact"/>
        <w:ind w:firstLine="560"/>
        <w:rPr>
          <w:rFonts w:hint="eastAsia" w:ascii="Times New Roman" w:hAnsi="Times New Roman" w:eastAsia="宋体" w:cs="Times New Roman"/>
          <w:b w:val="0"/>
          <w:bCs w:val="0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kern w:val="0"/>
          <w:sz w:val="28"/>
          <w:szCs w:val="28"/>
          <w:highlight w:val="none"/>
          <w:lang w:val="en-US" w:eastAsia="zh-CN" w:bidi="ar-SA"/>
        </w:rPr>
        <w:t>二、技术要求</w:t>
      </w:r>
      <w:bookmarkEnd w:id="17"/>
      <w:bookmarkEnd w:id="18"/>
      <w:bookmarkEnd w:id="19"/>
      <w:bookmarkEnd w:id="20"/>
      <w:bookmarkEnd w:id="21"/>
    </w:p>
    <w:tbl>
      <w:tblPr>
        <w:tblStyle w:val="8"/>
        <w:tblW w:w="9600" w:type="dxa"/>
        <w:jc w:val="center"/>
        <w:tblInd w:w="-4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1215"/>
        <w:gridCol w:w="840"/>
        <w:gridCol w:w="4830"/>
        <w:gridCol w:w="780"/>
        <w:gridCol w:w="12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70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序号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需求名称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参数性质</w:t>
            </w:r>
          </w:p>
        </w:tc>
        <w:tc>
          <w:tcPr>
            <w:tcW w:w="48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lang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需求具体内容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lang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是否量化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lang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703" w:type="dxa"/>
            <w:vMerge w:val="restart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基本要求1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★</w:t>
            </w:r>
          </w:p>
        </w:tc>
        <w:tc>
          <w:tcPr>
            <w:tcW w:w="4830" w:type="dxa"/>
            <w:vAlign w:val="center"/>
          </w:tcPr>
          <w:p>
            <w:pPr>
              <w:rPr>
                <w:rFonts w:ascii="仿宋" w:hAnsi="仿宋" w:eastAsia="仿宋"/>
                <w:i/>
                <w:iCs/>
                <w:sz w:val="24"/>
              </w:rPr>
            </w:pPr>
            <w:r>
              <w:rPr>
                <w:rFonts w:hint="eastAsia" w:ascii="仿宋" w:hAnsi="仿宋" w:eastAsia="仿宋"/>
                <w:lang w:bidi="ar"/>
              </w:rPr>
              <w:t>保修涵盖加速器主机、MLC多叶光栅机头、控制系统、治疗床、iViewGT影像验证系统、TPS治疗计划系统、MOSAIQ放疗网络系统、水冷机、激光定位灯等整机保修。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ascii="仿宋" w:hAnsi="仿宋" w:eastAsia="仿宋"/>
                <w:lang w:bidi="ar"/>
              </w:rPr>
            </w:pPr>
            <w:r>
              <w:rPr>
                <w:rFonts w:hint="eastAsia" w:ascii="仿宋" w:hAnsi="仿宋" w:eastAsia="仿宋"/>
                <w:lang w:bidi="ar"/>
              </w:rPr>
              <w:t>否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ascii="仿宋" w:hAnsi="仿宋" w:eastAsia="仿宋"/>
                <w:lang w:bidi="ar"/>
              </w:rPr>
            </w:pPr>
            <w:r>
              <w:rPr>
                <w:rFonts w:hint="eastAsia" w:ascii="仿宋" w:hAnsi="仿宋" w:eastAsia="仿宋"/>
                <w:lang w:bidi="ar"/>
              </w:rPr>
              <w:t>企业承诺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703" w:type="dxa"/>
            <w:vMerge w:val="continue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基本要求2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★</w:t>
            </w:r>
          </w:p>
        </w:tc>
        <w:tc>
          <w:tcPr>
            <w:tcW w:w="4830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服务供应商提供的服务未经院方同意不得进行转包或分包。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ascii="仿宋" w:hAnsi="仿宋" w:eastAsia="仿宋"/>
                <w:lang w:bidi="ar"/>
              </w:rPr>
            </w:pPr>
            <w:r>
              <w:rPr>
                <w:rFonts w:hint="eastAsia" w:ascii="仿宋" w:hAnsi="仿宋" w:eastAsia="仿宋"/>
                <w:lang w:bidi="ar"/>
              </w:rPr>
              <w:t>否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ascii="仿宋" w:hAnsi="仿宋" w:eastAsia="仿宋"/>
                <w:lang w:bidi="ar"/>
              </w:rPr>
            </w:pPr>
            <w:r>
              <w:rPr>
                <w:rFonts w:hint="eastAsia" w:ascii="仿宋" w:hAnsi="仿宋" w:eastAsia="仿宋"/>
                <w:lang w:bidi="ar"/>
              </w:rPr>
              <w:t>企业承诺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703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企业资格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★</w:t>
            </w:r>
          </w:p>
        </w:tc>
        <w:tc>
          <w:tcPr>
            <w:tcW w:w="4830" w:type="dxa"/>
            <w:vAlign w:val="center"/>
          </w:tcPr>
          <w:p>
            <w:pPr>
              <w:rPr>
                <w:rFonts w:ascii="仿宋" w:hAnsi="仿宋" w:eastAsia="仿宋"/>
                <w:i/>
                <w:iCs/>
                <w:sz w:val="24"/>
              </w:rPr>
            </w:pPr>
            <w:r>
              <w:rPr>
                <w:rFonts w:hint="eastAsia" w:ascii="仿宋" w:hAnsi="仿宋" w:eastAsia="仿宋"/>
              </w:rPr>
              <w:t>投标人及服务供应商具有医疗设备维修企业资格，提供经年检有效的营业执照，并在过去五年内无重大维修事故及法律纠纷发生。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ascii="仿宋" w:hAnsi="仿宋" w:eastAsia="仿宋"/>
                <w:lang w:bidi="ar"/>
              </w:rPr>
            </w:pPr>
            <w:r>
              <w:rPr>
                <w:rFonts w:hint="eastAsia" w:ascii="仿宋" w:hAnsi="仿宋" w:eastAsia="仿宋"/>
                <w:lang w:bidi="ar"/>
              </w:rPr>
              <w:t>否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ascii="仿宋" w:hAnsi="仿宋" w:eastAsia="仿宋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highlight w:val="none"/>
                <w:lang w:val="en-US" w:eastAsia="zh-CN" w:bidi="ar-SA"/>
              </w:rPr>
              <w:t>相关证明材料（对于“过去五年内无重大维修事故及法律纠纷发生”报价人及服务供应商可提供企业承诺或相关证明材料)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03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3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技术指标1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4830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服务供应商应具备客户服务专线电话服务系统，电话报修24*365天开通，并有专人接听，</w:t>
            </w:r>
            <w:r>
              <w:rPr>
                <w:rFonts w:ascii="仿宋" w:hAnsi="仿宋" w:eastAsia="仿宋"/>
              </w:rPr>
              <w:t>当所保设备出现故障时，</w:t>
            </w:r>
            <w:r>
              <w:rPr>
                <w:rFonts w:hint="eastAsia" w:ascii="仿宋" w:hAnsi="仿宋" w:eastAsia="仿宋"/>
              </w:rPr>
              <w:t>服务供应商</w:t>
            </w:r>
            <w:r>
              <w:rPr>
                <w:rFonts w:ascii="仿宋" w:hAnsi="仿宋" w:eastAsia="仿宋"/>
              </w:rPr>
              <w:t>按照合同约定时间响应，及时派遣工程师进行电话指导或赴现场维修。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ascii="仿宋" w:hAnsi="仿宋" w:eastAsia="仿宋"/>
                <w:lang w:bidi="ar"/>
              </w:rPr>
            </w:pPr>
            <w:r>
              <w:rPr>
                <w:rFonts w:hint="eastAsia" w:ascii="仿宋" w:hAnsi="仿宋" w:eastAsia="仿宋"/>
                <w:lang w:bidi="ar"/>
              </w:rPr>
              <w:t>否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ascii="仿宋" w:hAnsi="仿宋" w:eastAsia="仿宋"/>
                <w:lang w:bidi="ar"/>
              </w:rPr>
            </w:pPr>
            <w:r>
              <w:rPr>
                <w:rFonts w:hint="eastAsia" w:ascii="仿宋" w:hAnsi="仿宋" w:eastAsia="仿宋"/>
                <w:lang w:bidi="ar"/>
              </w:rPr>
              <w:t>企业承诺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703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4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技术指标2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4830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对协议设备进行免费的安全和可靠性升级。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ascii="仿宋" w:hAnsi="仿宋" w:eastAsia="仿宋"/>
                <w:lang w:bidi="ar"/>
              </w:rPr>
            </w:pPr>
            <w:r>
              <w:rPr>
                <w:rFonts w:hint="eastAsia" w:ascii="仿宋" w:hAnsi="仿宋" w:eastAsia="仿宋"/>
                <w:lang w:bidi="ar"/>
              </w:rPr>
              <w:t>否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ascii="仿宋" w:hAnsi="仿宋" w:eastAsia="仿宋"/>
                <w:lang w:bidi="ar"/>
              </w:rPr>
            </w:pPr>
            <w:r>
              <w:rPr>
                <w:rFonts w:hint="eastAsia" w:ascii="仿宋" w:hAnsi="仿宋" w:eastAsia="仿宋"/>
                <w:lang w:bidi="ar"/>
              </w:rPr>
              <w:t>企业承诺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  <w:jc w:val="center"/>
        </w:trPr>
        <w:tc>
          <w:tcPr>
            <w:tcW w:w="703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5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配置名称1</w:t>
            </w:r>
          </w:p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（服务点位）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="仿宋" w:hAnsi="仿宋" w:eastAsia="仿宋"/>
                <w:lang w:bidi="ar"/>
              </w:rPr>
            </w:pPr>
          </w:p>
        </w:tc>
        <w:tc>
          <w:tcPr>
            <w:tcW w:w="4830" w:type="dxa"/>
            <w:vAlign w:val="center"/>
          </w:tcPr>
          <w:p>
            <w:pPr>
              <w:rPr>
                <w:rFonts w:ascii="仿宋" w:hAnsi="仿宋" w:eastAsia="仿宋"/>
                <w:lang w:bidi="ar"/>
              </w:rPr>
            </w:pPr>
            <w:r>
              <w:rPr>
                <w:rFonts w:hint="eastAsia" w:ascii="仿宋" w:hAnsi="仿宋" w:eastAsia="仿宋"/>
              </w:rPr>
              <w:t>投标人或服务供应商</w:t>
            </w:r>
            <w:r>
              <w:rPr>
                <w:rFonts w:hint="eastAsia" w:ascii="仿宋" w:hAnsi="仿宋" w:eastAsia="仿宋"/>
                <w:lang w:bidi="ar"/>
              </w:rPr>
              <w:t>在北京市内设有长期稳定的服务机构≥3</w:t>
            </w:r>
            <w:r>
              <w:rPr>
                <w:rFonts w:ascii="仿宋" w:hAnsi="仿宋" w:eastAsia="仿宋"/>
                <w:lang w:bidi="ar"/>
              </w:rPr>
              <w:t>年。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ascii="仿宋" w:hAnsi="仿宋" w:eastAsia="仿宋"/>
                <w:lang w:bidi="ar"/>
              </w:rPr>
            </w:pPr>
            <w:r>
              <w:rPr>
                <w:rFonts w:hint="eastAsia" w:ascii="仿宋" w:hAnsi="仿宋" w:eastAsia="仿宋"/>
                <w:lang w:bidi="ar"/>
              </w:rPr>
              <w:t>否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ascii="仿宋" w:hAnsi="仿宋" w:eastAsia="仿宋"/>
                <w:lang w:bidi="ar"/>
              </w:rPr>
            </w:pPr>
            <w:r>
              <w:rPr>
                <w:rFonts w:hint="eastAsia" w:ascii="仿宋" w:hAnsi="仿宋" w:eastAsia="仿宋"/>
                <w:lang w:bidi="ar"/>
              </w:rPr>
              <w:t>相关证明材料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6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配置名称2</w:t>
            </w:r>
          </w:p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（服务人员）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="仿宋" w:hAnsi="仿宋" w:eastAsia="仿宋"/>
                <w:lang w:bidi="ar"/>
              </w:rPr>
            </w:pPr>
          </w:p>
        </w:tc>
        <w:tc>
          <w:tcPr>
            <w:tcW w:w="4830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配置全职维修工程师≥3人，其中至少1名工程师连续服务大于5年；提供姓名及行业培训考核合格证书。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ascii="仿宋" w:hAnsi="仿宋" w:eastAsia="仿宋"/>
                <w:lang w:bidi="ar"/>
              </w:rPr>
            </w:pPr>
            <w:r>
              <w:rPr>
                <w:rFonts w:hint="eastAsia" w:ascii="仿宋" w:hAnsi="仿宋" w:eastAsia="仿宋"/>
                <w:lang w:bidi="ar"/>
              </w:rPr>
              <w:t>否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ascii="仿宋" w:hAnsi="仿宋" w:eastAsia="仿宋"/>
                <w:lang w:bidi="ar"/>
              </w:rPr>
            </w:pPr>
            <w:r>
              <w:rPr>
                <w:rFonts w:hint="eastAsia" w:ascii="仿宋" w:hAnsi="仿宋" w:eastAsia="仿宋"/>
                <w:lang w:bidi="ar"/>
              </w:rPr>
              <w:t>相关证明材料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703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7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综合实力1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="仿宋" w:hAnsi="仿宋" w:eastAsia="仿宋"/>
                <w:lang w:bidi="ar"/>
              </w:rPr>
            </w:pPr>
            <w:r>
              <w:rPr>
                <w:rFonts w:hint="eastAsia" w:ascii="仿宋" w:hAnsi="仿宋" w:eastAsia="仿宋"/>
                <w:lang w:bidi="ar"/>
              </w:rPr>
              <w:t>▲</w:t>
            </w:r>
          </w:p>
        </w:tc>
        <w:tc>
          <w:tcPr>
            <w:tcW w:w="4830" w:type="dxa"/>
            <w:vAlign w:val="center"/>
          </w:tcPr>
          <w:p>
            <w:pPr>
              <w:rPr>
                <w:rFonts w:ascii="仿宋" w:hAnsi="仿宋" w:eastAsia="仿宋"/>
                <w:lang w:bidi="ar"/>
              </w:rPr>
            </w:pPr>
            <w:r>
              <w:rPr>
                <w:rFonts w:hint="eastAsia" w:ascii="仿宋" w:hAnsi="仿宋" w:eastAsia="仿宋"/>
                <w:lang w:bidi="ar"/>
              </w:rPr>
              <w:t>具有同型号或同类</w:t>
            </w:r>
            <w:r>
              <w:rPr>
                <w:rFonts w:ascii="仿宋" w:hAnsi="仿宋" w:eastAsia="仿宋"/>
                <w:lang w:bidi="ar"/>
              </w:rPr>
              <w:t>设备的维保经验，用户≥3家，并提供书面证明材料。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ascii="仿宋" w:hAnsi="仿宋" w:eastAsia="仿宋"/>
                <w:lang w:bidi="ar"/>
              </w:rPr>
            </w:pPr>
            <w:r>
              <w:rPr>
                <w:rFonts w:hint="eastAsia" w:ascii="仿宋" w:hAnsi="仿宋" w:eastAsia="仿宋"/>
                <w:lang w:bidi="ar"/>
              </w:rPr>
              <w:t>否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ascii="仿宋" w:hAnsi="仿宋" w:eastAsia="仿宋"/>
                <w:lang w:bidi="ar"/>
              </w:rPr>
            </w:pPr>
            <w:r>
              <w:rPr>
                <w:rFonts w:hint="eastAsia" w:ascii="仿宋" w:hAnsi="仿宋" w:eastAsia="仿宋"/>
                <w:lang w:bidi="ar"/>
              </w:rPr>
              <w:t>相关证明材料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703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8</w:t>
            </w:r>
          </w:p>
        </w:tc>
        <w:tc>
          <w:tcPr>
            <w:tcW w:w="121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综合实力2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="仿宋" w:hAnsi="仿宋" w:eastAsia="仿宋"/>
                <w:lang w:bidi="ar"/>
              </w:rPr>
            </w:pPr>
            <w:r>
              <w:rPr>
                <w:rFonts w:hint="eastAsia" w:ascii="仿宋" w:hAnsi="仿宋" w:eastAsia="仿宋"/>
              </w:rPr>
              <w:t>★</w:t>
            </w:r>
          </w:p>
        </w:tc>
        <w:tc>
          <w:tcPr>
            <w:tcW w:w="4830" w:type="dxa"/>
            <w:vAlign w:val="center"/>
          </w:tcPr>
          <w:p>
            <w:pPr>
              <w:rPr>
                <w:rFonts w:ascii="仿宋" w:hAnsi="仿宋" w:eastAsia="仿宋"/>
                <w:lang w:bidi="ar"/>
              </w:rPr>
            </w:pPr>
            <w:r>
              <w:rPr>
                <w:rFonts w:hint="eastAsia" w:ascii="仿宋" w:hAnsi="仿宋" w:eastAsia="仿宋"/>
                <w:lang w:bidi="ar"/>
              </w:rPr>
              <w:t>服务供应商所更换的备件必须是经检验合格的原机零备件，满足设备运行要求，不会给设备带来危害。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ascii="仿宋" w:hAnsi="仿宋" w:eastAsia="仿宋"/>
                <w:lang w:bidi="ar"/>
              </w:rPr>
            </w:pPr>
            <w:r>
              <w:rPr>
                <w:rFonts w:hint="eastAsia" w:ascii="仿宋" w:hAnsi="仿宋" w:eastAsia="仿宋"/>
                <w:lang w:bidi="ar"/>
              </w:rPr>
              <w:t>否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ascii="仿宋" w:hAnsi="仿宋" w:eastAsia="仿宋"/>
                <w:lang w:bidi="ar"/>
              </w:rPr>
            </w:pPr>
            <w:r>
              <w:rPr>
                <w:rFonts w:hint="eastAsia" w:ascii="仿宋" w:hAnsi="仿宋" w:eastAsia="仿宋"/>
                <w:lang w:bidi="ar"/>
              </w:rPr>
              <w:t>相关证明材料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9</w:t>
            </w:r>
          </w:p>
        </w:tc>
        <w:tc>
          <w:tcPr>
            <w:tcW w:w="121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综合实力3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="仿宋" w:hAnsi="仿宋" w:eastAsia="仿宋"/>
                <w:lang w:bidi="ar"/>
              </w:rPr>
            </w:pPr>
            <w:r>
              <w:rPr>
                <w:rFonts w:hint="eastAsia" w:ascii="仿宋" w:hAnsi="仿宋" w:eastAsia="仿宋"/>
                <w:lang w:bidi="ar"/>
              </w:rPr>
              <w:t>▲</w:t>
            </w:r>
          </w:p>
        </w:tc>
        <w:tc>
          <w:tcPr>
            <w:tcW w:w="4830" w:type="dxa"/>
            <w:vAlign w:val="center"/>
          </w:tcPr>
          <w:p>
            <w:pPr>
              <w:rPr>
                <w:rFonts w:ascii="仿宋" w:hAnsi="仿宋" w:eastAsia="仿宋"/>
                <w:lang w:bidi="ar"/>
              </w:rPr>
            </w:pPr>
            <w:r>
              <w:rPr>
                <w:rFonts w:hint="eastAsia" w:ascii="仿宋" w:hAnsi="仿宋" w:eastAsia="仿宋"/>
                <w:lang w:bidi="ar"/>
              </w:rPr>
              <w:t>保修期内，医疗保健任务时，服务供应商须按照院方指定要求，无偿派遣工程师赴现场保障，确保设备正常运行。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ascii="仿宋" w:hAnsi="仿宋" w:eastAsia="仿宋"/>
                <w:lang w:bidi="ar"/>
              </w:rPr>
            </w:pPr>
            <w:r>
              <w:rPr>
                <w:rFonts w:hint="eastAsia" w:ascii="仿宋" w:hAnsi="仿宋" w:eastAsia="仿宋"/>
                <w:lang w:bidi="ar"/>
              </w:rPr>
              <w:t>否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ascii="仿宋" w:hAnsi="仿宋" w:eastAsia="仿宋"/>
                <w:lang w:bidi="ar"/>
              </w:rPr>
            </w:pPr>
            <w:r>
              <w:rPr>
                <w:rFonts w:hint="eastAsia" w:ascii="仿宋" w:hAnsi="仿宋" w:eastAsia="仿宋"/>
                <w:lang w:bidi="ar"/>
              </w:rPr>
              <w:t>企业承诺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  <w:jc w:val="center"/>
        </w:trPr>
        <w:tc>
          <w:tcPr>
            <w:tcW w:w="703" w:type="dxa"/>
            <w:vAlign w:val="center"/>
          </w:tcPr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  <w:r>
              <w:rPr>
                <w:rFonts w:ascii="仿宋" w:hAnsi="仿宋" w:eastAsia="仿宋"/>
              </w:rPr>
              <w:t>0</w:t>
            </w:r>
          </w:p>
        </w:tc>
        <w:tc>
          <w:tcPr>
            <w:tcW w:w="121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收标准方法1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="仿宋" w:hAnsi="仿宋" w:eastAsia="仿宋"/>
                <w:lang w:bidi="ar"/>
              </w:rPr>
            </w:pPr>
          </w:p>
          <w:p>
            <w:pPr>
              <w:jc w:val="center"/>
              <w:rPr>
                <w:rFonts w:ascii="仿宋" w:hAnsi="仿宋" w:eastAsia="仿宋"/>
                <w:lang w:bidi="ar"/>
              </w:rPr>
            </w:pPr>
            <w:r>
              <w:rPr>
                <w:rFonts w:hint="eastAsia" w:ascii="仿宋" w:hAnsi="仿宋" w:eastAsia="仿宋"/>
                <w:lang w:bidi="ar"/>
              </w:rPr>
              <w:t>★</w:t>
            </w:r>
          </w:p>
        </w:tc>
        <w:tc>
          <w:tcPr>
            <w:tcW w:w="4830" w:type="dxa"/>
            <w:vAlign w:val="center"/>
          </w:tcPr>
          <w:p>
            <w:pPr>
              <w:rPr>
                <w:rFonts w:ascii="仿宋" w:hAnsi="仿宋" w:eastAsia="仿宋"/>
                <w:lang w:bidi="ar"/>
              </w:rPr>
            </w:pPr>
          </w:p>
          <w:p>
            <w:pPr>
              <w:rPr>
                <w:rFonts w:ascii="仿宋" w:hAnsi="仿宋" w:eastAsia="仿宋"/>
                <w:lang w:bidi="ar"/>
              </w:rPr>
            </w:pPr>
            <w:r>
              <w:rPr>
                <w:rFonts w:ascii="仿宋" w:hAnsi="仿宋" w:eastAsia="仿宋"/>
                <w:lang w:bidi="ar"/>
              </w:rPr>
              <w:t>保证设备全年开机率≥95%，按一年365天计算，即全年累计停机时间≤18天。若超出上述承诺停机天数，超出一天顺延2天保修。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ascii="仿宋" w:hAnsi="仿宋" w:eastAsia="仿宋"/>
                <w:lang w:bidi="ar"/>
              </w:rPr>
            </w:pPr>
          </w:p>
          <w:p>
            <w:pPr>
              <w:jc w:val="center"/>
              <w:rPr>
                <w:rFonts w:ascii="仿宋" w:hAnsi="仿宋" w:eastAsia="仿宋"/>
                <w:lang w:bidi="ar"/>
              </w:rPr>
            </w:pPr>
            <w:r>
              <w:rPr>
                <w:rFonts w:hint="eastAsia" w:ascii="仿宋" w:hAnsi="仿宋" w:eastAsia="仿宋"/>
                <w:lang w:bidi="ar"/>
              </w:rPr>
              <w:t>否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ascii="仿宋" w:hAnsi="仿宋" w:eastAsia="仿宋"/>
                <w:lang w:bidi="ar"/>
              </w:rPr>
            </w:pPr>
          </w:p>
          <w:p>
            <w:pPr>
              <w:jc w:val="center"/>
              <w:rPr>
                <w:rFonts w:ascii="仿宋" w:hAnsi="仿宋" w:eastAsia="仿宋"/>
                <w:lang w:bidi="ar"/>
              </w:rPr>
            </w:pPr>
            <w:r>
              <w:rPr>
                <w:rFonts w:hint="eastAsia" w:ascii="仿宋" w:hAnsi="仿宋" w:eastAsia="仿宋"/>
                <w:lang w:bidi="ar"/>
              </w:rPr>
              <w:t>企业承诺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  <w:r>
              <w:rPr>
                <w:rFonts w:ascii="仿宋" w:hAnsi="仿宋" w:eastAsia="仿宋"/>
              </w:rPr>
              <w:t>1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验收标准方法2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="仿宋" w:hAnsi="仿宋" w:eastAsia="仿宋"/>
                <w:lang w:bidi="ar"/>
              </w:rPr>
            </w:pPr>
          </w:p>
        </w:tc>
        <w:tc>
          <w:tcPr>
            <w:tcW w:w="4830" w:type="dxa"/>
            <w:vAlign w:val="center"/>
          </w:tcPr>
          <w:p>
            <w:pPr>
              <w:rPr>
                <w:rFonts w:ascii="仿宋" w:hAnsi="仿宋" w:eastAsia="仿宋"/>
                <w:lang w:bidi="ar"/>
              </w:rPr>
            </w:pPr>
            <w:r>
              <w:rPr>
                <w:rFonts w:ascii="仿宋" w:hAnsi="仿宋" w:eastAsia="仿宋"/>
                <w:lang w:bidi="ar"/>
              </w:rPr>
              <w:t>每次维保任务完成后，</w:t>
            </w:r>
            <w:r>
              <w:rPr>
                <w:rFonts w:hint="eastAsia" w:ascii="仿宋" w:hAnsi="仿宋" w:eastAsia="仿宋"/>
                <w:lang w:bidi="ar"/>
              </w:rPr>
              <w:t>服务</w:t>
            </w:r>
            <w:r>
              <w:rPr>
                <w:rFonts w:ascii="仿宋" w:hAnsi="仿宋" w:eastAsia="仿宋"/>
                <w:lang w:bidi="ar"/>
              </w:rPr>
              <w:t>工程师应及时提供工单联留存医工部门，并需使用科室和院方维保工程师的签字确认。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ascii="仿宋" w:hAnsi="仿宋" w:eastAsia="仿宋"/>
                <w:lang w:bidi="ar"/>
              </w:rPr>
            </w:pPr>
            <w:r>
              <w:rPr>
                <w:rFonts w:hint="eastAsia" w:ascii="仿宋" w:hAnsi="仿宋" w:eastAsia="仿宋"/>
                <w:lang w:bidi="ar"/>
              </w:rPr>
              <w:t>否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ascii="仿宋" w:hAnsi="仿宋" w:eastAsia="仿宋"/>
                <w:lang w:bidi="ar"/>
              </w:rPr>
            </w:pPr>
            <w:r>
              <w:rPr>
                <w:rFonts w:hint="eastAsia" w:ascii="仿宋" w:hAnsi="仿宋" w:eastAsia="仿宋"/>
                <w:lang w:bidi="ar"/>
              </w:rPr>
              <w:t>企业承诺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  <w:r>
              <w:rPr>
                <w:rFonts w:ascii="仿宋" w:hAnsi="仿宋" w:eastAsia="仿宋"/>
              </w:rPr>
              <w:t>2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验收标准方法3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="仿宋" w:hAnsi="仿宋" w:eastAsia="仿宋"/>
                <w:lang w:bidi="ar"/>
              </w:rPr>
            </w:pPr>
          </w:p>
        </w:tc>
        <w:tc>
          <w:tcPr>
            <w:tcW w:w="4830" w:type="dxa"/>
            <w:vAlign w:val="center"/>
          </w:tcPr>
          <w:p>
            <w:pPr>
              <w:rPr>
                <w:rFonts w:ascii="仿宋" w:hAnsi="仿宋" w:eastAsia="仿宋"/>
                <w:lang w:bidi="ar"/>
              </w:rPr>
            </w:pPr>
            <w:r>
              <w:rPr>
                <w:rFonts w:ascii="仿宋" w:hAnsi="仿宋" w:eastAsia="仿宋"/>
                <w:lang w:bidi="ar"/>
              </w:rPr>
              <w:t>服务提供商应按年提供维保明细报告。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ascii="仿宋" w:hAnsi="仿宋" w:eastAsia="仿宋"/>
                <w:lang w:bidi="ar"/>
              </w:rPr>
            </w:pPr>
            <w:r>
              <w:rPr>
                <w:rFonts w:hint="eastAsia" w:ascii="仿宋" w:hAnsi="仿宋" w:eastAsia="仿宋"/>
                <w:lang w:bidi="ar"/>
              </w:rPr>
              <w:t>否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ascii="仿宋" w:hAnsi="仿宋" w:eastAsia="仿宋"/>
                <w:lang w:bidi="ar"/>
              </w:rPr>
            </w:pPr>
            <w:r>
              <w:rPr>
                <w:rFonts w:hint="eastAsia" w:ascii="仿宋" w:hAnsi="仿宋" w:eastAsia="仿宋"/>
                <w:lang w:bidi="ar"/>
              </w:rPr>
              <w:t>企业承诺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2758" w:type="dxa"/>
            <w:gridSpan w:val="3"/>
            <w:vAlign w:val="center"/>
          </w:tcPr>
          <w:p>
            <w:pPr>
              <w:rPr>
                <w:rFonts w:hint="eastAsia" w:ascii="仿宋" w:hAnsi="仿宋" w:eastAsia="仿宋"/>
                <w:lang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技术偏离要求</w:t>
            </w:r>
          </w:p>
        </w:tc>
        <w:tc>
          <w:tcPr>
            <w:tcW w:w="6842" w:type="dxa"/>
            <w:gridSpan w:val="3"/>
            <w:vAlign w:val="center"/>
          </w:tcPr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★指标为必须响应指标，任意一项不满足要求即做废标处理</w:t>
            </w:r>
          </w:p>
          <w:p>
            <w:pPr>
              <w:rPr>
                <w:rFonts w:hint="eastAsia" w:ascii="仿宋" w:hAnsi="仿宋" w:eastAsia="仿宋"/>
                <w:lang w:bidi="ar"/>
              </w:rPr>
            </w:pPr>
            <w:r>
              <w:rPr>
                <w:rFonts w:hint="eastAsia" w:ascii="仿宋" w:hAnsi="仿宋" w:eastAsia="仿宋"/>
                <w:lang w:val="en-US" w:eastAsia="zh-CN" w:bidi="ar"/>
              </w:rPr>
              <w:t>▲标识的指标负偏离≥2项，投标企业技术分值为0分</w:t>
            </w:r>
            <w:r>
              <w:rPr>
                <w:rFonts w:hint="eastAsia" w:ascii="仿宋" w:hAnsi="仿宋" w:eastAsia="仿宋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/>
                <w:lang w:val="en-US" w:eastAsia="zh-CN" w:bidi="ar"/>
              </w:rPr>
              <w:t>▲标识的指标和“无标识”指标负偏离≥4项，投标企业技术分值为0分</w:t>
            </w:r>
          </w:p>
        </w:tc>
      </w:tr>
    </w:tbl>
    <w:p>
      <w:bookmarkStart w:id="22" w:name="_GoBack"/>
      <w:bookmarkEnd w:id="22"/>
    </w:p>
    <w:sectPr>
      <w:footerReference r:id="rId5" w:type="first"/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egoe UI Symbol">
    <w:panose1 w:val="020B0502040204020203"/>
    <w:charset w:val="00"/>
    <w:family w:val="auto"/>
    <w:pitch w:val="default"/>
    <w:sig w:usb0="8000006F" w:usb1="1200FBEF" w:usb2="0004C000" w:usb3="00000000" w:csb0="00000001" w:csb1="4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/ufGT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0" distR="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2" name="文本框 2" descr="Restricted Information and Basic Personal Dat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r>
                            <w:t>Restricted Information and Basic Personal Data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alt="Restricted Information and Basic Personal Data" type="#_x0000_t202" style="position:absolute;left:0pt;height:34.95pt;width:34.95pt;mso-position-horizontal:center;mso-position-horizontal-relative:page;mso-position-vertical:bottom;mso-position-vertical-relative:page;mso-wrap-style:none;z-index:251660288;v-text-anchor:bottom;mso-width-relative:page;mso-height-relative:page;" filled="f" stroked="f" coordsize="21600,21600" o:gfxdata="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8ga6g0gAAAAMBAAAPAAAAAAAAAAEAIAAAACIAAABkcnMvZG93bnJldi54bWxQSwECFAAU&#10;AAAACACHTuJAtgVSXzACAAA4BAAADgAAAAAAAAABACAAAAAhAQAAZHJzL2Uyb0RvYy54bWxQSwUG&#10;AAAAAAYABgBZAQAAwwUAAAAA&#10;">
              <v:fill on="f" focussize="0,0"/>
              <v:stroke on="f"/>
              <v:imagedata o:title=""/>
              <o:lock v:ext="edit" aspectratio="f"/>
              <v:textbox inset="0mm,0mm,0mm,15pt" style="mso-fit-shape-to-text:t;">
                <w:txbxContent>
                  <w:p>
                    <w:r>
                      <w:t>Restricted Information and Basic Personal Data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1" name="文本框 1" descr="Restricted Information and Basic Personal Dat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r>
                            <w:t>Restricted Information and Basic Personal Data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alt="Restricted Information and Basic Personal Data" type="#_x0000_t202" style="position:absolute;left:0pt;height:34.95pt;width:34.95pt;mso-position-horizontal:center;mso-position-horizontal-relative:page;mso-position-vertical:bottom;mso-position-vertical-relative:page;mso-wrap-style:none;z-index:251659264;v-text-anchor:bottom;mso-width-relative:page;mso-height-relative:page;" filled="f" stroked="f" coordsize="21600,21600" o:gfxdata="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HyBrqDSAAAAAwEAAA8AAAAAAAAAAQAgAAAAIgAAAGRycy9kb3ducmV2LnhtbFBLAQIUABQA&#10;AAAIAIdO4kDM4IElLwIAADgEAAAOAAAAAAAAAAEAIAAAACEBAABkcnMvZTJvRG9jLnhtbFBLBQYA&#10;AAAABgAGAFkBAADCBQAAAAA=&#10;">
              <v:fill on="f" focussize="0,0"/>
              <v:stroke on="f"/>
              <v:imagedata o:title=""/>
              <o:lock v:ext="edit" aspectratio="f"/>
              <v:textbox inset="0mm,0mm,0mm,15pt" style="mso-fit-shape-to-text:t;">
                <w:txbxContent>
                  <w:p>
                    <w:r>
                      <w:t>Restricted Information and Basic Personal Data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ViYzJmZmMwNjAxOTQ0NTUxMWZmMjRjMzRiODE4NzIifQ=="/>
  </w:docVars>
  <w:rsids>
    <w:rsidRoot w:val="009C7D8E"/>
    <w:rsid w:val="00013087"/>
    <w:rsid w:val="00040119"/>
    <w:rsid w:val="000557F7"/>
    <w:rsid w:val="000D3241"/>
    <w:rsid w:val="000D5479"/>
    <w:rsid w:val="00102050"/>
    <w:rsid w:val="001510DE"/>
    <w:rsid w:val="001D3116"/>
    <w:rsid w:val="001E5640"/>
    <w:rsid w:val="0021250A"/>
    <w:rsid w:val="00253C50"/>
    <w:rsid w:val="002570DB"/>
    <w:rsid w:val="00257781"/>
    <w:rsid w:val="00263A99"/>
    <w:rsid w:val="0027249B"/>
    <w:rsid w:val="00276A70"/>
    <w:rsid w:val="002A7802"/>
    <w:rsid w:val="00303A44"/>
    <w:rsid w:val="00376AC0"/>
    <w:rsid w:val="003B4F10"/>
    <w:rsid w:val="00405CC8"/>
    <w:rsid w:val="004209AF"/>
    <w:rsid w:val="00451765"/>
    <w:rsid w:val="00453AC7"/>
    <w:rsid w:val="00471BCF"/>
    <w:rsid w:val="00480F3F"/>
    <w:rsid w:val="004A1070"/>
    <w:rsid w:val="004E6699"/>
    <w:rsid w:val="00517B6D"/>
    <w:rsid w:val="005235F8"/>
    <w:rsid w:val="00534104"/>
    <w:rsid w:val="005475E0"/>
    <w:rsid w:val="005F22E7"/>
    <w:rsid w:val="005F5C9D"/>
    <w:rsid w:val="0064220F"/>
    <w:rsid w:val="006A3402"/>
    <w:rsid w:val="006C4777"/>
    <w:rsid w:val="00727858"/>
    <w:rsid w:val="00765A06"/>
    <w:rsid w:val="00767F71"/>
    <w:rsid w:val="00771AB3"/>
    <w:rsid w:val="007912EC"/>
    <w:rsid w:val="00824ED4"/>
    <w:rsid w:val="00883FF4"/>
    <w:rsid w:val="00890CA0"/>
    <w:rsid w:val="00892D15"/>
    <w:rsid w:val="00911D6E"/>
    <w:rsid w:val="0097527B"/>
    <w:rsid w:val="009779C0"/>
    <w:rsid w:val="009C7D8E"/>
    <w:rsid w:val="009D7D99"/>
    <w:rsid w:val="00A01486"/>
    <w:rsid w:val="00A12419"/>
    <w:rsid w:val="00A24B86"/>
    <w:rsid w:val="00A34C1E"/>
    <w:rsid w:val="00A41378"/>
    <w:rsid w:val="00A50322"/>
    <w:rsid w:val="00AA67F6"/>
    <w:rsid w:val="00AB2766"/>
    <w:rsid w:val="00B2169D"/>
    <w:rsid w:val="00B247AF"/>
    <w:rsid w:val="00B73185"/>
    <w:rsid w:val="00BC2D54"/>
    <w:rsid w:val="00BD653E"/>
    <w:rsid w:val="00C04428"/>
    <w:rsid w:val="00C105B0"/>
    <w:rsid w:val="00C503E5"/>
    <w:rsid w:val="00C7321C"/>
    <w:rsid w:val="00D05460"/>
    <w:rsid w:val="00DB54D1"/>
    <w:rsid w:val="00DD7A85"/>
    <w:rsid w:val="00E259C9"/>
    <w:rsid w:val="00E82C8E"/>
    <w:rsid w:val="00E93D09"/>
    <w:rsid w:val="00EB1F62"/>
    <w:rsid w:val="00EC6E01"/>
    <w:rsid w:val="00EE4278"/>
    <w:rsid w:val="00F87199"/>
    <w:rsid w:val="00FB7A07"/>
    <w:rsid w:val="03366791"/>
    <w:rsid w:val="26BD0195"/>
    <w:rsid w:val="271E0258"/>
    <w:rsid w:val="38B65F1B"/>
    <w:rsid w:val="3D0A340C"/>
    <w:rsid w:val="41C81D94"/>
    <w:rsid w:val="42AD35A8"/>
    <w:rsid w:val="44732FC8"/>
    <w:rsid w:val="6D8E2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ind w:firstLine="200" w:firstLineChars="200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页脚 字符"/>
    <w:basedOn w:val="9"/>
    <w:link w:val="5"/>
    <w:qFormat/>
    <w:uiPriority w:val="0"/>
    <w:rPr>
      <w:kern w:val="2"/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页眉 字符"/>
    <w:basedOn w:val="9"/>
    <w:link w:val="6"/>
    <w:qFormat/>
    <w:uiPriority w:val="0"/>
    <w:rPr>
      <w:kern w:val="2"/>
      <w:sz w:val="18"/>
      <w:szCs w:val="18"/>
    </w:rPr>
  </w:style>
  <w:style w:type="character" w:customStyle="1" w:styleId="13">
    <w:name w:val="font21"/>
    <w:basedOn w:val="9"/>
    <w:qFormat/>
    <w:uiPriority w:val="0"/>
    <w:rPr>
      <w:rFonts w:hint="default" w:ascii="Segoe UI Symbol" w:hAnsi="Segoe UI Symbol" w:eastAsia="Segoe UI Symbol" w:cs="Segoe UI Symbol"/>
      <w:color w:val="000000"/>
      <w:sz w:val="22"/>
      <w:szCs w:val="22"/>
      <w:u w:val="none"/>
    </w:rPr>
  </w:style>
  <w:style w:type="character" w:customStyle="1" w:styleId="14">
    <w:name w:val="font41"/>
    <w:basedOn w:val="9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</w:rPr>
  </w:style>
  <w:style w:type="character" w:customStyle="1" w:styleId="15">
    <w:name w:val="font11"/>
    <w:basedOn w:val="9"/>
    <w:qFormat/>
    <w:uiPriority w:val="0"/>
    <w:rPr>
      <w:rFonts w:hint="default" w:ascii="Segoe UI Symbol" w:hAnsi="Segoe UI Symbol" w:eastAsia="Segoe UI Symbol" w:cs="Segoe UI Symbol"/>
      <w:color w:val="000000"/>
      <w:sz w:val="22"/>
      <w:szCs w:val="22"/>
      <w:u w:val="none"/>
    </w:rPr>
  </w:style>
  <w:style w:type="paragraph" w:customStyle="1" w:styleId="16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6C1998-4483-4C89-B0A1-928D095A844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251</Words>
  <Characters>1432</Characters>
  <Lines>11</Lines>
  <Paragraphs>3</Paragraphs>
  <TotalTime>0</TotalTime>
  <ScaleCrop>false</ScaleCrop>
  <LinksUpToDate>false</LinksUpToDate>
  <CharactersWithSpaces>1680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2024-01-15T02:31:00Z</dcterms:created>
  <dc:creator>杨蕾</dc:creator>
  <cp:lastModifiedBy>admin</cp:lastModifiedBy>
  <cp:lastPrinted>2024-04-16T02:40:00Z</cp:lastPrinted>
  <dcterms:modified xsi:type="dcterms:W3CDTF">2024-04-24T09:58:25Z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  <property fmtid="{D5CDD505-2E9C-101B-9397-08002B2CF9AE}" pid="3" name="ICV">
    <vt:lpwstr>AA7C641837804B1CB2024BC3D50E163F_13</vt:lpwstr>
  </property>
  <property fmtid="{D5CDD505-2E9C-101B-9397-08002B2CF9AE}" pid="4" name="ClassificationContentMarkingFooterShapeIds">
    <vt:lpwstr>1,2,3</vt:lpwstr>
  </property>
  <property fmtid="{D5CDD505-2E9C-101B-9397-08002B2CF9AE}" pid="5" name="ClassificationContentMarkingFooterFontProps">
    <vt:lpwstr>#c8c9c8,7,Arial</vt:lpwstr>
  </property>
  <property fmtid="{D5CDD505-2E9C-101B-9397-08002B2CF9AE}" pid="6" name="ClassificationContentMarkingFooterText">
    <vt:lpwstr>Restricted Information and Basic Personal Data</vt:lpwstr>
  </property>
  <property fmtid="{D5CDD505-2E9C-101B-9397-08002B2CF9AE}" pid="7" name="MSIP_Label_8009cb06-7738-4ab2-bfa1-5e7551442bdd_Enabled">
    <vt:lpwstr>true</vt:lpwstr>
  </property>
  <property fmtid="{D5CDD505-2E9C-101B-9397-08002B2CF9AE}" pid="8" name="MSIP_Label_8009cb06-7738-4ab2-bfa1-5e7551442bdd_SetDate">
    <vt:lpwstr>2024-01-15T02:31:15Z</vt:lpwstr>
  </property>
  <property fmtid="{D5CDD505-2E9C-101B-9397-08002B2CF9AE}" pid="9" name="MSIP_Label_8009cb06-7738-4ab2-bfa1-5e7551442bdd_Method">
    <vt:lpwstr>Standard</vt:lpwstr>
  </property>
  <property fmtid="{D5CDD505-2E9C-101B-9397-08002B2CF9AE}" pid="10" name="MSIP_Label_8009cb06-7738-4ab2-bfa1-5e7551442bdd_Name">
    <vt:lpwstr>8009cb06-7738-4ab2-bfa1-5e7551442bdd</vt:lpwstr>
  </property>
  <property fmtid="{D5CDD505-2E9C-101B-9397-08002B2CF9AE}" pid="11" name="MSIP_Label_8009cb06-7738-4ab2-bfa1-5e7551442bdd_SiteId">
    <vt:lpwstr>9295d077-5563-4c2d-9456-be5c3ad9f4ec</vt:lpwstr>
  </property>
  <property fmtid="{D5CDD505-2E9C-101B-9397-08002B2CF9AE}" pid="12" name="MSIP_Label_8009cb06-7738-4ab2-bfa1-5e7551442bdd_ActionId">
    <vt:lpwstr>f6626e88-facc-43d7-885c-7e012a5bade5</vt:lpwstr>
  </property>
  <property fmtid="{D5CDD505-2E9C-101B-9397-08002B2CF9AE}" pid="13" name="MSIP_Label_8009cb06-7738-4ab2-bfa1-5e7551442bdd_ContentBits">
    <vt:lpwstr>2</vt:lpwstr>
  </property>
</Properties>
</file>