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12317781"/>
      <w:bookmarkStart w:id="1" w:name="_Toc21632"/>
      <w:bookmarkStart w:id="2" w:name="_Toc30564"/>
      <w:bookmarkStart w:id="3" w:name="_Toc132186973"/>
      <w:bookmarkStart w:id="4" w:name="_Toc128470293"/>
      <w:bookmarkStart w:id="5" w:name="_Toc132191257"/>
      <w:bookmarkStart w:id="6" w:name="_Toc28545"/>
      <w:bookmarkStart w:id="7" w:name="_Toc130888005"/>
      <w:bookmarkStart w:id="8" w:name="_Toc130661176"/>
      <w:bookmarkStart w:id="9" w:name="_Toc32050"/>
      <w:bookmarkStart w:id="10" w:name="_Toc9692"/>
      <w:bookmarkStart w:id="11" w:name="_Toc128154366"/>
      <w:bookmarkStart w:id="12" w:name="_Toc11276849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1023"/>
        <w:gridCol w:w="497"/>
        <w:gridCol w:w="5761"/>
        <w:gridCol w:w="497"/>
        <w:gridCol w:w="12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适用于临床营养科以及与营养不良疾病相关科室。用于监测营养状况、老年肌少症评价、儿童发育,肥胖诊断及治疗，筛选骨质疏松等众多领域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原厂技术参数或技术白皮书或供应商承诺函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具备NMPA认证，同时具备FDA或CE认证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测量方法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直接节段多频率生物电阻抗分析测量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测量频率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（1kHz-1000kHz内≥6种频率测量）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产品彩页或说明书或检验报告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电极方法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4极8点接触式电极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产品彩页或说明书或检验报告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年龄：3~99岁、身高：95~220cm、体重：10~250kg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测量结果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至少包含身体总水分、细胞内水分、细胞外水分、蛋白质含量、无机盐、体脂肪、肌肉量、去脂体重、体重、骨骼肌、体脂肪含量、体脂百分比、</w:t>
            </w:r>
            <w:r>
              <w:rPr>
                <w:lang w:val="en-US" w:eastAsia="zh-CN"/>
              </w:rPr>
              <w:t>BMI</w:t>
            </w:r>
            <w:r>
              <w:rPr>
                <w:rFonts w:hint="eastAsia"/>
                <w:lang w:val="en-US" w:eastAsia="zh-CN"/>
              </w:rPr>
              <w:t>、节段肌肉分析、节段水分分析、身体总水分及节段水分比率（ECW/TBW）、BCM（身体细胞量）、BMC（骨内矿物质含量）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产品彩页或说明书或检验报告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可输出报告纸类型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体成分报告、儿童报告、水分报告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阻抗测量允差范围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四肢±1%，躯干±3%以内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产品彩页或说明书或检验报告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高级营养参数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至少包含身体细胞量、相位角、SMI(四肢骨骼肌指数)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产品彩页或说明书或检验报告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生物电阻抗矢量分析图表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具备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科研支持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用该品牌发表过SCI级文章≥50篇，越多越优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提供论文目录及企业承诺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管理权限控制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可设置管理员密码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硬件配置要求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人体成份分析仪主机1台、国产彩色激光打印机1台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软件配置要求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管理软件1套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合同签订后接甲方通知3个月内交付，交付地点由甲方指定。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签订合同付（预付）0%，物资到货（服务完成）验收后付95%。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履约保证金和质量保证金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验收合格且出质保期后无质量问题支付剩余5%（不超过5%）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产品包装和运输要求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按照国家、行业相关标准规范，产品确保包装完好，运输确保不对产品造成损伤。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售后服务1（质保）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保修年限不低于3年，全年故障停机时间不高于5%（按365日/年计算)。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售后服务2（质保）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保修期内免费提供定期维护保养服务，免费升级和维护软件，免费提供使用培训。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售后服务3（质保）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提供不少于3人次、0.5天的工程师维修培训。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售后服务4（响应时间）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维修响应时间≤2小时，维修</w:t>
            </w:r>
            <w:bookmarkStart w:id="13" w:name="_GoBack"/>
            <w:bookmarkEnd w:id="13"/>
            <w:r>
              <w:rPr>
                <w:rFonts w:hint="eastAsia"/>
                <w:lang w:val="en-US" w:eastAsia="zh-CN"/>
              </w:rPr>
              <w:t>到达现场时间≤24小时。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备品备件要求（零配件）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由供应商承诺项目使用寿命周期内保证零配件供应。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物资编目编码、打码贴签要求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★标识的指标负偏离≥1项，投标企业按无效报价处理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▲标识的指标负偏离≥3项，投标企业技术分值为0分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▲标识的指标和“无标识”指标负偏离≥6项，投标企业技术分值为0分</w:t>
            </w:r>
          </w:p>
        </w:tc>
      </w:tr>
    </w:tbl>
    <w:p>
      <w:pPr>
        <w:pStyle w:val="49"/>
        <w:sectPr>
          <w:footerReference r:id="rId3" w:type="default"/>
          <w:pgSz w:w="11906" w:h="16838"/>
          <w:pgMar w:top="1418" w:right="1134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</w:p>
    <w:p>
      <w:pPr>
        <w:pStyle w:val="49"/>
      </w:pPr>
    </w:p>
    <w:sectPr>
      <w:headerReference r:id="rId4" w:type="default"/>
      <w:pgSz w:w="16838" w:h="11906" w:orient="landscape"/>
      <w:pgMar w:top="1418" w:right="1418" w:bottom="113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2792711"/>
      <w:docPartObj>
        <w:docPartGallery w:val="autotext"/>
      </w:docPartObj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76</w:t>
        </w:r>
        <w:r>
          <w:fldChar w:fldCharType="end"/>
        </w:r>
      </w:p>
    </w:sdtContent>
  </w:sdt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8000695"/>
    <w:rsid w:val="0885061F"/>
    <w:rsid w:val="093E2FA0"/>
    <w:rsid w:val="09673E3C"/>
    <w:rsid w:val="0A8F788E"/>
    <w:rsid w:val="0AAE4A96"/>
    <w:rsid w:val="0BDD0AD5"/>
    <w:rsid w:val="0BE43EE4"/>
    <w:rsid w:val="0BFE1539"/>
    <w:rsid w:val="0C3628D7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7672C8D"/>
    <w:rsid w:val="18433A70"/>
    <w:rsid w:val="18695DE3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6DD48D7"/>
    <w:rsid w:val="271D5F0A"/>
    <w:rsid w:val="276C144B"/>
    <w:rsid w:val="287D3B7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F3454AC"/>
    <w:rsid w:val="2F641874"/>
    <w:rsid w:val="2F894C82"/>
    <w:rsid w:val="30843362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420585E"/>
    <w:rsid w:val="4427077C"/>
    <w:rsid w:val="448252F0"/>
    <w:rsid w:val="44C837A2"/>
    <w:rsid w:val="45903CAA"/>
    <w:rsid w:val="47666DB1"/>
    <w:rsid w:val="47A65E5C"/>
    <w:rsid w:val="47C00CCC"/>
    <w:rsid w:val="47D66741"/>
    <w:rsid w:val="48194B54"/>
    <w:rsid w:val="48C60564"/>
    <w:rsid w:val="49042E3A"/>
    <w:rsid w:val="491E6013"/>
    <w:rsid w:val="49494CF1"/>
    <w:rsid w:val="4B0036A5"/>
    <w:rsid w:val="4BD50ABE"/>
    <w:rsid w:val="4C001FDF"/>
    <w:rsid w:val="4CEF0ED4"/>
    <w:rsid w:val="4DBD6AAD"/>
    <w:rsid w:val="4DC42B98"/>
    <w:rsid w:val="4EB94800"/>
    <w:rsid w:val="4F9A62A6"/>
    <w:rsid w:val="50CE5299"/>
    <w:rsid w:val="50F32112"/>
    <w:rsid w:val="514D61C2"/>
    <w:rsid w:val="518A6447"/>
    <w:rsid w:val="52293911"/>
    <w:rsid w:val="522B5E7C"/>
    <w:rsid w:val="523E5075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9B73BAB"/>
    <w:rsid w:val="59C363FA"/>
    <w:rsid w:val="5A113609"/>
    <w:rsid w:val="5A7C13EA"/>
    <w:rsid w:val="5ACA4DFD"/>
    <w:rsid w:val="5B0176E4"/>
    <w:rsid w:val="5B745718"/>
    <w:rsid w:val="5B9A423C"/>
    <w:rsid w:val="5C524FC6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65190A"/>
    <w:rsid w:val="6B25645F"/>
    <w:rsid w:val="6C040369"/>
    <w:rsid w:val="6C8C6991"/>
    <w:rsid w:val="6D6F35A2"/>
    <w:rsid w:val="6DB910A1"/>
    <w:rsid w:val="70E01533"/>
    <w:rsid w:val="70E114A5"/>
    <w:rsid w:val="714E5FA0"/>
    <w:rsid w:val="71593474"/>
    <w:rsid w:val="72843477"/>
    <w:rsid w:val="72B02765"/>
    <w:rsid w:val="756E3C30"/>
    <w:rsid w:val="76796366"/>
    <w:rsid w:val="7A3A36CD"/>
    <w:rsid w:val="7A4153ED"/>
    <w:rsid w:val="7ABD27F2"/>
    <w:rsid w:val="7B7A36AA"/>
    <w:rsid w:val="7BF546E1"/>
    <w:rsid w:val="7C4D62CB"/>
    <w:rsid w:val="7C5424EB"/>
    <w:rsid w:val="7C9132B1"/>
    <w:rsid w:val="7CB9570E"/>
    <w:rsid w:val="7DBE1B68"/>
    <w:rsid w:val="7E3037AE"/>
    <w:rsid w:val="7F0C2270"/>
    <w:rsid w:val="7F264CBA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105</Pages>
  <Words>38419</Words>
  <Characters>40065</Characters>
  <Lines>347</Lines>
  <Paragraphs>97</Paragraphs>
  <TotalTime>0</TotalTime>
  <ScaleCrop>false</ScaleCrop>
  <LinksUpToDate>false</LinksUpToDate>
  <CharactersWithSpaces>44376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2024-05-17T09:03:28Z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