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137" w:type="dxa"/>
        <w:jc w:val="center"/>
        <w:tblInd w:w="-290" w:type="dxa"/>
        <w:shd w:val="clear"/>
        <w:tblLayout w:type="fixed"/>
        <w:tblCellMar>
          <w:top w:w="0" w:type="dxa"/>
          <w:left w:w="0" w:type="dxa"/>
          <w:bottom w:w="0" w:type="dxa"/>
          <w:right w:w="0" w:type="dxa"/>
        </w:tblCellMar>
      </w:tblPr>
      <w:tblGrid>
        <w:gridCol w:w="1300"/>
        <w:gridCol w:w="1650"/>
        <w:gridCol w:w="1377"/>
        <w:gridCol w:w="1595"/>
        <w:gridCol w:w="1241"/>
        <w:gridCol w:w="2223"/>
        <w:gridCol w:w="751"/>
      </w:tblGrid>
      <w:tr>
        <w:tblPrEx>
          <w:shd w:val="clear"/>
          <w:tblLayout w:type="fixed"/>
          <w:tblCellMar>
            <w:top w:w="0" w:type="dxa"/>
            <w:left w:w="0" w:type="dxa"/>
            <w:bottom w:w="0" w:type="dxa"/>
            <w:right w:w="0" w:type="dxa"/>
          </w:tblCellMar>
        </w:tblPrEx>
        <w:trPr>
          <w:trHeight w:val="627" w:hRule="atLeast"/>
          <w:jc w:val="center"/>
        </w:trPr>
        <w:tc>
          <w:tcPr>
            <w:tcW w:w="10137" w:type="dxa"/>
            <w:gridSpan w:val="7"/>
            <w:tcBorders>
              <w:top w:val="nil"/>
              <w:left w:val="nil"/>
              <w:bottom w:val="nil"/>
              <w:right w:val="nil"/>
            </w:tcBorders>
            <w:shd w:val="clear"/>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b/>
                <w:i w:val="0"/>
                <w:color w:val="000000"/>
                <w:sz w:val="40"/>
                <w:szCs w:val="40"/>
                <w:u w:val="none"/>
              </w:rPr>
            </w:pPr>
            <w:r>
              <w:rPr>
                <w:rFonts w:hint="default" w:ascii="方正小标宋简体" w:hAnsi="方正小标宋简体" w:eastAsia="方正小标宋简体" w:cs="方正小标宋简体"/>
                <w:b/>
                <w:i w:val="0"/>
                <w:color w:val="000000"/>
                <w:kern w:val="0"/>
                <w:sz w:val="40"/>
                <w:szCs w:val="40"/>
                <w:u w:val="none"/>
                <w:bdr w:val="none" w:color="auto" w:sz="0" w:space="0"/>
                <w:lang w:val="en-US" w:eastAsia="zh-CN" w:bidi="ar"/>
              </w:rPr>
              <w:t>医疗设备技术需求确认表</w:t>
            </w:r>
          </w:p>
        </w:tc>
      </w:tr>
      <w:tr>
        <w:tblPrEx>
          <w:tblLayout w:type="fixed"/>
          <w:tblCellMar>
            <w:top w:w="0" w:type="dxa"/>
            <w:left w:w="0" w:type="dxa"/>
            <w:bottom w:w="0" w:type="dxa"/>
            <w:right w:w="0" w:type="dxa"/>
          </w:tblCellMar>
        </w:tblPrEx>
        <w:trPr>
          <w:trHeight w:val="702"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设备名称</w:t>
            </w:r>
          </w:p>
        </w:tc>
        <w:tc>
          <w:tcPr>
            <w:tcW w:w="3027" w:type="dxa"/>
            <w:gridSpan w:val="2"/>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等离子手术工作站</w:t>
            </w:r>
          </w:p>
        </w:tc>
        <w:tc>
          <w:tcPr>
            <w:tcW w:w="159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总数量（台/套）</w:t>
            </w:r>
          </w:p>
        </w:tc>
        <w:tc>
          <w:tcPr>
            <w:tcW w:w="124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3</w:t>
            </w:r>
          </w:p>
        </w:tc>
        <w:tc>
          <w:tcPr>
            <w:tcW w:w="222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预算总金额（万元）</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135</w:t>
            </w:r>
          </w:p>
        </w:tc>
      </w:tr>
      <w:tr>
        <w:tblPrEx>
          <w:tblLayout w:type="fixed"/>
          <w:tblCellMar>
            <w:top w:w="0" w:type="dxa"/>
            <w:left w:w="0" w:type="dxa"/>
            <w:bottom w:w="0" w:type="dxa"/>
            <w:right w:w="0" w:type="dxa"/>
          </w:tblCellMar>
        </w:tblPrEx>
        <w:trPr>
          <w:trHeight w:val="735"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序号</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技术和性能参数名称</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招标参数和性能要求</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基本要求</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适用于脊柱内窥镜下汽化、消融、止血术和颈椎消融术/汽化术、腰椎盘内汽化打孔消融术、侧路/后路靶点减压术；椎间盘全方位可定向靶点消融术；脊神经后肢疼痛微创治疗；神经阻滞术；及神经脊柱开放手术治疗中对软组织进行切割和凝血。</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*2</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资质认证</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具备NMPA认证和CE认证</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技术和性能参数</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等离子手术系统</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*3.1.1</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主机输出最</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大功率</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输出功率≥330W</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*3.1.2</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工作温度</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≤45℃</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3.1.3</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主机工作频</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率</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100KHz</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bdr w:val="none" w:color="auto" w:sz="0" w:space="0"/>
                <w:lang w:val="en-US" w:eastAsia="zh-CN" w:bidi="ar"/>
              </w:rPr>
            </w:pPr>
            <w:r>
              <w:rPr>
                <w:rFonts w:hint="eastAsia" w:ascii="宋体" w:hAnsi="宋体" w:eastAsia="宋体" w:cs="宋体"/>
                <w:i w:val="0"/>
                <w:color w:val="000000"/>
                <w:kern w:val="0"/>
                <w:sz w:val="22"/>
                <w:szCs w:val="22"/>
                <w:u w:val="none"/>
                <w:lang w:val="en-US" w:eastAsia="zh-CN" w:bidi="ar"/>
              </w:rPr>
              <w:t>3.1.4</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bdr w:val="none" w:color="auto" w:sz="0" w:space="0"/>
                <w:lang w:val="en-US" w:eastAsia="zh-CN" w:bidi="ar"/>
              </w:rPr>
            </w:pPr>
            <w:r>
              <w:rPr>
                <w:rFonts w:hint="eastAsia" w:ascii="宋体" w:hAnsi="宋体" w:eastAsia="宋体" w:cs="宋体"/>
                <w:i w:val="0"/>
                <w:color w:val="000000"/>
                <w:kern w:val="0"/>
                <w:sz w:val="22"/>
                <w:szCs w:val="22"/>
                <w:u w:val="none"/>
                <w:lang w:val="en-US" w:eastAsia="zh-CN" w:bidi="ar"/>
              </w:rPr>
              <w:t>主机界面功</w:t>
            </w:r>
            <w:r>
              <w:rPr>
                <w:rFonts w:hint="eastAsia" w:ascii="宋体" w:hAnsi="宋体" w:eastAsia="宋体" w:cs="宋体"/>
                <w:i w:val="0"/>
                <w:color w:val="000000"/>
                <w:kern w:val="0"/>
                <w:sz w:val="22"/>
                <w:szCs w:val="22"/>
                <w:u w:val="none"/>
                <w:lang w:val="en-US" w:eastAsia="zh-CN" w:bidi="ar"/>
              </w:rPr>
              <w:br w:type="textWrapping"/>
            </w:r>
            <w:r>
              <w:rPr>
                <w:rFonts w:hint="eastAsia" w:ascii="宋体" w:hAnsi="宋体" w:eastAsia="宋体" w:cs="宋体"/>
                <w:i w:val="0"/>
                <w:color w:val="000000"/>
                <w:kern w:val="0"/>
                <w:sz w:val="22"/>
                <w:szCs w:val="22"/>
                <w:u w:val="none"/>
                <w:lang w:val="en-US" w:eastAsia="zh-CN" w:bidi="ar"/>
              </w:rPr>
              <w:t>能</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rPr>
                <w:rFonts w:hint="eastAsia" w:ascii="宋体" w:hAnsi="宋体" w:eastAsia="宋体" w:cs="宋体"/>
                <w:i w:val="0"/>
                <w:color w:val="000000"/>
                <w:kern w:val="0"/>
                <w:sz w:val="22"/>
                <w:szCs w:val="22"/>
                <w:u w:val="none"/>
                <w:bdr w:val="none" w:color="auto" w:sz="0" w:space="0"/>
                <w:lang w:val="en-US" w:eastAsia="zh-CN" w:bidi="ar"/>
              </w:rPr>
            </w:pPr>
            <w:r>
              <w:rPr>
                <w:rFonts w:hint="eastAsia" w:ascii="宋体" w:hAnsi="宋体" w:eastAsia="宋体" w:cs="宋体"/>
                <w:i w:val="0"/>
                <w:color w:val="000000"/>
                <w:kern w:val="0"/>
                <w:sz w:val="22"/>
                <w:szCs w:val="22"/>
                <w:u w:val="none"/>
                <w:lang w:val="en-US" w:eastAsia="zh-CN" w:bidi="ar"/>
              </w:rPr>
              <w:t>可显示汽化切割、消融凝血、工作状态</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3.1.5</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主机工作档</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位</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等离子汽化切割：≥（1-9） 档可调；等离子凝固止血：≥（1-9） 档可调</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*3.1.6</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工作模式</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具有射频消融功能（双极射频电极消融）和等离子消融切割功能</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bdr w:val="none" w:color="auto" w:sz="0" w:space="0"/>
                <w:lang w:val="en-US" w:eastAsia="zh-CN" w:bidi="ar"/>
              </w:rPr>
            </w:pPr>
            <w:r>
              <w:rPr>
                <w:rFonts w:hint="eastAsia" w:ascii="宋体" w:hAnsi="宋体" w:eastAsia="宋体" w:cs="宋体"/>
                <w:i w:val="0"/>
                <w:color w:val="000000"/>
                <w:kern w:val="0"/>
                <w:sz w:val="22"/>
                <w:szCs w:val="22"/>
                <w:u w:val="none"/>
                <w:lang w:val="en-US" w:eastAsia="zh-CN" w:bidi="ar"/>
              </w:rPr>
              <w:t>·3.1.7</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kern w:val="0"/>
                <w:sz w:val="22"/>
                <w:szCs w:val="22"/>
                <w:u w:val="none"/>
                <w:bdr w:val="none" w:color="auto" w:sz="0" w:space="0"/>
                <w:lang w:val="en-US" w:eastAsia="zh-CN" w:bidi="ar"/>
              </w:rPr>
            </w:pPr>
            <w:r>
              <w:rPr>
                <w:rFonts w:hint="eastAsia" w:ascii="宋体" w:hAnsi="宋体" w:eastAsia="宋体" w:cs="宋体"/>
                <w:i w:val="0"/>
                <w:color w:val="000000"/>
                <w:kern w:val="0"/>
                <w:sz w:val="22"/>
                <w:szCs w:val="22"/>
                <w:u w:val="none"/>
                <w:lang w:val="en-US" w:eastAsia="zh-CN" w:bidi="ar"/>
              </w:rPr>
              <w:t>治疗模式</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bdr w:val="none" w:color="auto" w:sz="0" w:space="0"/>
                <w:lang w:val="en-US" w:eastAsia="zh-CN" w:bidi="ar"/>
              </w:rPr>
            </w:pPr>
            <w:r>
              <w:rPr>
                <w:rFonts w:hint="eastAsia" w:ascii="宋体" w:hAnsi="宋体" w:eastAsia="宋体" w:cs="宋体"/>
                <w:i w:val="0"/>
                <w:color w:val="000000"/>
                <w:kern w:val="0"/>
                <w:sz w:val="22"/>
                <w:szCs w:val="22"/>
                <w:u w:val="none"/>
                <w:lang w:val="en-US" w:eastAsia="zh-CN" w:bidi="ar"/>
              </w:rPr>
              <w:t>具有内镜下切割消融和止血功能，通过国家医疗器械检测部门对电极在内镜下使用的相关国家标准（GB9706.19 和GB11244）的检测。</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3.1.8</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设备标准</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国家食品药品监督管理局批准的三类医疗器械注册证</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bdr w:val="none" w:color="auto" w:sz="0" w:space="0"/>
                <w:lang w:val="en-US" w:eastAsia="zh-CN" w:bidi="ar"/>
              </w:rPr>
            </w:pPr>
            <w:r>
              <w:rPr>
                <w:rFonts w:hint="eastAsia" w:ascii="宋体" w:hAnsi="宋体" w:eastAsia="宋体" w:cs="宋体"/>
                <w:i w:val="0"/>
                <w:color w:val="000000"/>
                <w:kern w:val="0"/>
                <w:sz w:val="22"/>
                <w:szCs w:val="22"/>
                <w:u w:val="none"/>
                <w:lang w:val="en-US" w:eastAsia="zh-CN" w:bidi="ar"/>
              </w:rPr>
              <w:t>3.1.9</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left"/>
              <w:rPr>
                <w:rFonts w:hint="eastAsia" w:ascii="宋体" w:hAnsi="宋体" w:eastAsia="宋体" w:cs="宋体"/>
                <w:i w:val="0"/>
                <w:color w:val="000000"/>
                <w:kern w:val="0"/>
                <w:sz w:val="22"/>
                <w:szCs w:val="22"/>
                <w:u w:val="none"/>
                <w:bdr w:val="none" w:color="auto" w:sz="0" w:space="0"/>
                <w:lang w:val="en-US" w:eastAsia="zh-CN" w:bidi="ar"/>
              </w:rPr>
            </w:pPr>
            <w:r>
              <w:rPr>
                <w:rFonts w:hint="eastAsia" w:ascii="宋体" w:hAnsi="宋体" w:eastAsia="宋体" w:cs="宋体"/>
                <w:i w:val="0"/>
                <w:color w:val="000000"/>
                <w:kern w:val="0"/>
                <w:sz w:val="22"/>
                <w:szCs w:val="22"/>
                <w:u w:val="none"/>
                <w:lang w:val="en-US" w:eastAsia="zh-CN" w:bidi="ar"/>
              </w:rPr>
              <w:t>主机具备自动保护装置</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kern w:val="0"/>
                <w:sz w:val="22"/>
                <w:szCs w:val="22"/>
                <w:u w:val="none"/>
                <w:bdr w:val="none" w:color="auto" w:sz="0" w:space="0"/>
                <w:lang w:val="en-US" w:eastAsia="zh-CN" w:bidi="ar"/>
              </w:rPr>
            </w:pPr>
            <w:r>
              <w:rPr>
                <w:rFonts w:hint="eastAsia" w:ascii="宋体" w:hAnsi="宋体" w:eastAsia="宋体" w:cs="宋体"/>
                <w:i w:val="0"/>
                <w:color w:val="000000"/>
                <w:kern w:val="0"/>
                <w:sz w:val="22"/>
                <w:szCs w:val="22"/>
                <w:u w:val="none"/>
                <w:lang w:val="en-US" w:eastAsia="zh-CN" w:bidi="ar"/>
              </w:rPr>
              <w:t>具备瞬间超高峰值电流自动暂停能量输出功能；自动检测和识别附件及刀头故障</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3.1.10</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控制脚踏</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三脚踏开关能够通过脚踏轻松实现 ABLTE 和COAG 的档位调节，不需要来回折返按主机档位调节按钮。</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高频手术系统</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·3.2.1</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双频模式</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双极电波频率1.7MHz和单极电波频率4.0MHz</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*3.2.2</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工作温度及损伤程度</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切缘损伤小于20微米</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·3.2.3</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工作模式</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≥5种，至少包括单极切割、单极凝切、单极凝血、双极凝血、双极消融。</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3.2.4</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工作原理</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非高温作用原理，能量发射极不发热。</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·3.2.5</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控制方式</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手柄指压及脚踏开关两种控制方式，有三项手柄和三项脚踏，且脚踏开关可同时控制单、双极工作。</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·3.2.6</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风冷系统</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自带冷风系统保证主机使用安全</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3.2.7</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安全自检系统</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有安全自检系统</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3.2.8</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重启功能</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有系统重启功能</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3.2.9</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参数记忆功能</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主机具有设定参数记忆功能</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*3.2.10</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手术电极</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单极刀头种类≥6种</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3.3</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报警及安全</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指标</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设备指标异常提示和安全报警声、光指示</w:t>
            </w:r>
          </w:p>
        </w:tc>
        <w:tc>
          <w:tcPr>
            <w:tcW w:w="751"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3.4</w:t>
            </w:r>
          </w:p>
        </w:tc>
        <w:tc>
          <w:tcPr>
            <w:tcW w:w="165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设备不良事</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件情况</w:t>
            </w:r>
          </w:p>
        </w:tc>
        <w:tc>
          <w:tcPr>
            <w:tcW w:w="6436" w:type="dxa"/>
            <w:gridSpan w:val="4"/>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厂家自报设备近三年不良事件情况</w:t>
            </w:r>
          </w:p>
        </w:tc>
        <w:tc>
          <w:tcPr>
            <w:tcW w:w="751"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*4</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配置需求</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等离子射频手术系统主机*1</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等离子射频手术系统脚踏开关*1</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高频手术系统主机*1</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高频手术系统脚踏开关*1</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原装抗震转运箱*1</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针型电极*2</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刀片型电极*2</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等离子电极*2</w:t>
            </w:r>
          </w:p>
        </w:tc>
        <w:tc>
          <w:tcPr>
            <w:tcW w:w="751"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*5</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配套试剂耗材</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具体年用量详见附件</w:t>
            </w:r>
          </w:p>
        </w:tc>
        <w:tc>
          <w:tcPr>
            <w:tcW w:w="751"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售后条款</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c>
          <w:tcPr>
            <w:tcW w:w="751" w:type="dxa"/>
            <w:tcBorders>
              <w:top w:val="nil"/>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*6.1</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原厂保修年限</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≥3年，保修期内开机率不低于95%（按365日/年计算，含节假日)，未达到要求的开机率天数，按双倍天数顺延保修期。</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6.2</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预防性维修</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/定期维护保养</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保修期内按维修手册要求提供定期维护保养服务</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*6.3</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维修响应时间</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维修到达现场时间≤0.5个工作日（京内）</w:t>
            </w:r>
            <w:r>
              <w:rPr>
                <w:rFonts w:hint="eastAsia" w:ascii="宋体" w:hAnsi="宋体" w:eastAsia="宋体" w:cs="宋体"/>
                <w:i w:val="0"/>
                <w:color w:val="000000"/>
                <w:kern w:val="0"/>
                <w:sz w:val="22"/>
                <w:szCs w:val="22"/>
                <w:u w:val="none"/>
                <w:bdr w:val="none" w:color="auto" w:sz="0" w:space="0"/>
                <w:lang w:val="en-US" w:eastAsia="zh-CN" w:bidi="ar"/>
              </w:rPr>
              <w:br w:type="textWrapping"/>
            </w:r>
            <w:r>
              <w:rPr>
                <w:rFonts w:hint="eastAsia" w:ascii="宋体" w:hAnsi="宋体" w:eastAsia="宋体" w:cs="宋体"/>
                <w:i w:val="0"/>
                <w:color w:val="000000"/>
                <w:kern w:val="0"/>
                <w:sz w:val="22"/>
                <w:szCs w:val="22"/>
                <w:u w:val="none"/>
                <w:bdr w:val="none" w:color="auto" w:sz="0" w:space="0"/>
                <w:lang w:val="en-US" w:eastAsia="zh-CN" w:bidi="ar"/>
              </w:rPr>
              <w:t>维修到达现场时间≤3个工作日（京外）</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6.4</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配件报价</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提供消耗性配件（年平均更换大于1次的配件）和高值配件（价格大于设备成交价5%以上）的报价清单，且高值配件报价之和不得高于设备成交价的110%</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6.5</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升级与软件维护</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保修期内免费升级和软件维护；保修期外，原软件维护仅收工时费</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6.6</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维修工时费计算方法及价格</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至少提供按小时计费和按故障点计费两种方式，用户可自行选择</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·6.7</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专用工具、资料及其它</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Style w:val="4"/>
                <w:bdr w:val="none" w:color="auto" w:sz="0" w:space="0"/>
                <w:lang w:val="en-US" w:eastAsia="zh-CN" w:bidi="ar"/>
              </w:rPr>
              <w:t>提供设备配套的维修专用工具</w:t>
            </w:r>
            <w:r>
              <w:rPr>
                <w:rStyle w:val="5"/>
                <w:bdr w:val="none" w:color="auto" w:sz="0" w:space="0"/>
                <w:lang w:val="en-US" w:eastAsia="zh-CN" w:bidi="ar"/>
              </w:rPr>
              <w:t>（如有）</w:t>
            </w:r>
            <w:r>
              <w:rPr>
                <w:rStyle w:val="4"/>
                <w:bdr w:val="none" w:color="auto" w:sz="0" w:space="0"/>
                <w:lang w:val="en-US" w:eastAsia="zh-CN" w:bidi="ar"/>
              </w:rPr>
              <w:t>，资料（操作手册、维修手册等）</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6.8</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培训</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提供使用培训和工程师原厂培训</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30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6.9</w:t>
            </w:r>
          </w:p>
        </w:tc>
        <w:tc>
          <w:tcPr>
            <w:tcW w:w="165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交货期</w:t>
            </w:r>
          </w:p>
        </w:tc>
        <w:tc>
          <w:tcPr>
            <w:tcW w:w="6436" w:type="dxa"/>
            <w:gridSpan w:val="4"/>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2"/>
                <w:szCs w:val="22"/>
                <w:u w:val="none"/>
              </w:rPr>
            </w:pPr>
            <w:r>
              <w:rPr>
                <w:rFonts w:hint="eastAsia" w:ascii="宋体" w:hAnsi="宋体" w:eastAsia="宋体" w:cs="宋体"/>
                <w:i w:val="0"/>
                <w:color w:val="000000"/>
                <w:kern w:val="0"/>
                <w:sz w:val="22"/>
                <w:szCs w:val="22"/>
                <w:u w:val="none"/>
                <w:bdr w:val="none" w:color="auto" w:sz="0" w:space="0"/>
                <w:lang w:val="en-US" w:eastAsia="zh-CN" w:bidi="ar"/>
              </w:rPr>
              <w:t>合同签订后3个月内交货</w:t>
            </w:r>
          </w:p>
        </w:tc>
        <w:tc>
          <w:tcPr>
            <w:tcW w:w="751"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left"/>
              <w:rPr>
                <w:rFonts w:hint="eastAsia" w:ascii="宋体" w:hAnsi="宋体" w:eastAsia="宋体" w:cs="宋体"/>
                <w:i w:val="0"/>
                <w:color w:val="000000"/>
                <w:sz w:val="22"/>
                <w:szCs w:val="22"/>
                <w:u w:val="none"/>
              </w:rPr>
            </w:pPr>
          </w:p>
        </w:tc>
      </w:tr>
      <w:tr>
        <w:tblPrEx>
          <w:tblLayout w:type="fixed"/>
          <w:tblCellMar>
            <w:top w:w="0" w:type="dxa"/>
            <w:left w:w="0" w:type="dxa"/>
            <w:bottom w:w="0" w:type="dxa"/>
            <w:right w:w="0" w:type="dxa"/>
          </w:tblCellMar>
        </w:tblPrEx>
        <w:trPr>
          <w:trHeight w:val="0" w:hRule="atLeast"/>
          <w:jc w:val="center"/>
        </w:trPr>
        <w:tc>
          <w:tcPr>
            <w:tcW w:w="10137" w:type="dxa"/>
            <w:gridSpan w:val="7"/>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sz w:val="22"/>
                <w:szCs w:val="22"/>
                <w:u w:val="none"/>
                <w:lang w:val="en-US" w:eastAsia="zh-CN"/>
              </w:rPr>
              <w:t>备注：1.加注“*”号的技术指标为关键指标，≥1项未达到招标文件要求，即做废标处理。</w:t>
            </w:r>
            <w:r>
              <w:rPr>
                <w:rFonts w:hint="eastAsia" w:ascii="宋体" w:hAnsi="宋体" w:eastAsia="宋体" w:cs="宋体"/>
                <w:i w:val="0"/>
                <w:color w:val="000000"/>
                <w:sz w:val="22"/>
                <w:szCs w:val="22"/>
                <w:u w:val="none"/>
                <w:lang w:val="en-US" w:eastAsia="zh-CN"/>
              </w:rPr>
              <w:br w:type="textWrapping"/>
            </w:r>
            <w:r>
              <w:rPr>
                <w:rFonts w:hint="eastAsia" w:ascii="宋体" w:hAnsi="宋体" w:eastAsia="宋体" w:cs="宋体"/>
                <w:i w:val="0"/>
                <w:color w:val="000000"/>
                <w:sz w:val="22"/>
                <w:szCs w:val="22"/>
                <w:u w:val="none"/>
                <w:lang w:val="en-US" w:eastAsia="zh-CN"/>
              </w:rPr>
              <w:t xml:space="preserve">      2.加注“·”号的技术指标为重要指标。</w:t>
            </w:r>
            <w:r>
              <w:rPr>
                <w:rFonts w:hint="eastAsia" w:ascii="宋体" w:hAnsi="宋体" w:eastAsia="宋体" w:cs="宋体"/>
                <w:i w:val="0"/>
                <w:color w:val="000000"/>
                <w:sz w:val="22"/>
                <w:szCs w:val="22"/>
                <w:u w:val="none"/>
                <w:lang w:val="en-US" w:eastAsia="zh-CN"/>
              </w:rPr>
              <w:br w:type="textWrapping"/>
            </w:r>
            <w:r>
              <w:rPr>
                <w:rFonts w:hint="eastAsia" w:ascii="宋体" w:hAnsi="宋体" w:eastAsia="宋体" w:cs="宋体"/>
                <w:i w:val="0"/>
                <w:color w:val="000000"/>
                <w:sz w:val="22"/>
                <w:szCs w:val="22"/>
                <w:u w:val="none"/>
                <w:lang w:val="en-US" w:eastAsia="zh-CN"/>
              </w:rPr>
              <w:t xml:space="preserve">      3.加注“*”、“·”号的技术指标均需投标企业提供证明材料。</w:t>
            </w:r>
          </w:p>
        </w:tc>
      </w:tr>
    </w:tbl>
    <w:p/>
    <w:p/>
    <w:p/>
    <w:tbl>
      <w:tblPr>
        <w:tblW w:w="10219" w:type="dxa"/>
        <w:jc w:val="center"/>
        <w:tblInd w:w="-1569" w:type="dxa"/>
        <w:shd w:val="clear"/>
        <w:tblLayout w:type="fixed"/>
        <w:tblCellMar>
          <w:top w:w="0" w:type="dxa"/>
          <w:left w:w="0" w:type="dxa"/>
          <w:bottom w:w="0" w:type="dxa"/>
          <w:right w:w="0" w:type="dxa"/>
        </w:tblCellMar>
      </w:tblPr>
      <w:tblGrid>
        <w:gridCol w:w="1185"/>
        <w:gridCol w:w="2670"/>
        <w:gridCol w:w="1185"/>
        <w:gridCol w:w="3746"/>
        <w:gridCol w:w="1433"/>
      </w:tblGrid>
      <w:tr>
        <w:tblPrEx>
          <w:tblLayout w:type="fixed"/>
          <w:tblCellMar>
            <w:top w:w="0" w:type="dxa"/>
            <w:left w:w="0" w:type="dxa"/>
            <w:bottom w:w="0" w:type="dxa"/>
            <w:right w:w="0" w:type="dxa"/>
          </w:tblCellMar>
        </w:tblPrEx>
        <w:trPr>
          <w:trHeight w:val="540" w:hRule="atLeast"/>
          <w:jc w:val="center"/>
        </w:trPr>
        <w:tc>
          <w:tcPr>
            <w:tcW w:w="10219" w:type="dxa"/>
            <w:gridSpan w:val="5"/>
            <w:tcBorders>
              <w:top w:val="nil"/>
              <w:left w:val="nil"/>
              <w:bottom w:val="nil"/>
              <w:right w:val="nil"/>
            </w:tcBorders>
            <w:shd w:val="clear"/>
            <w:noWrap/>
            <w:tcMar>
              <w:top w:w="15" w:type="dxa"/>
              <w:left w:w="15" w:type="dxa"/>
              <w:right w:w="15" w:type="dxa"/>
            </w:tcMar>
            <w:vAlign w:val="center"/>
          </w:tcPr>
          <w:p>
            <w:pPr>
              <w:keepNext w:val="0"/>
              <w:keepLines w:val="0"/>
              <w:widowControl/>
              <w:suppressLineNumbers w:val="0"/>
              <w:jc w:val="center"/>
              <w:textAlignment w:val="center"/>
              <w:rPr>
                <w:rFonts w:ascii="方正小标宋简体" w:hAnsi="方正小标宋简体" w:eastAsia="方正小标宋简体" w:cs="方正小标宋简体"/>
                <w:i w:val="0"/>
                <w:color w:val="000000"/>
                <w:sz w:val="44"/>
                <w:szCs w:val="44"/>
                <w:u w:val="none"/>
              </w:rPr>
            </w:pPr>
            <w:r>
              <w:rPr>
                <w:rFonts w:hint="default" w:ascii="方正小标宋简体" w:hAnsi="方正小标宋简体" w:eastAsia="方正小标宋简体" w:cs="方正小标宋简体"/>
                <w:i w:val="0"/>
                <w:color w:val="000000"/>
                <w:kern w:val="0"/>
                <w:sz w:val="44"/>
                <w:szCs w:val="44"/>
                <w:u w:val="none"/>
                <w:bdr w:val="none" w:color="auto" w:sz="0" w:space="0"/>
                <w:lang w:val="en-US" w:eastAsia="zh-CN" w:bidi="ar"/>
              </w:rPr>
              <w:t>医疗设备配套封闭耗材（非试剂类）用量测算表</w:t>
            </w:r>
          </w:p>
        </w:tc>
      </w:tr>
      <w:tr>
        <w:tblPrEx>
          <w:tblLayout w:type="fixed"/>
          <w:tblCellMar>
            <w:top w:w="0" w:type="dxa"/>
            <w:left w:w="0" w:type="dxa"/>
            <w:bottom w:w="0" w:type="dxa"/>
            <w:right w:w="0" w:type="dxa"/>
          </w:tblCellMar>
        </w:tblPrEx>
        <w:trPr>
          <w:trHeight w:val="540" w:hRule="atLeast"/>
          <w:jc w:val="center"/>
        </w:trPr>
        <w:tc>
          <w:tcPr>
            <w:tcW w:w="1185" w:type="dxa"/>
            <w:tcBorders>
              <w:top w:val="single" w:color="000000" w:sz="4" w:space="0"/>
              <w:left w:val="single" w:color="000000" w:sz="4" w:space="0"/>
              <w:bottom w:val="nil"/>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设备名称</w:t>
            </w:r>
          </w:p>
        </w:tc>
        <w:tc>
          <w:tcPr>
            <w:tcW w:w="3855" w:type="dxa"/>
            <w:gridSpan w:val="2"/>
            <w:tcBorders>
              <w:top w:val="single" w:color="000000" w:sz="4" w:space="0"/>
              <w:left w:val="single" w:color="000000" w:sz="4" w:space="0"/>
              <w:bottom w:val="nil"/>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等离子手术工作站</w:t>
            </w:r>
          </w:p>
        </w:tc>
        <w:tc>
          <w:tcPr>
            <w:tcW w:w="3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bookmarkStart w:id="0" w:name="_GoBack"/>
            <w:bookmarkEnd w:id="0"/>
          </w:p>
        </w:tc>
        <w:tc>
          <w:tcPr>
            <w:tcW w:w="1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jc w:val="center"/>
              <w:rPr>
                <w:rFonts w:hint="eastAsia" w:ascii="黑体" w:hAnsi="宋体" w:eastAsia="黑体" w:cs="黑体"/>
                <w:i w:val="0"/>
                <w:color w:val="000000"/>
                <w:sz w:val="24"/>
                <w:szCs w:val="24"/>
                <w:u w:val="none"/>
              </w:rPr>
            </w:pPr>
          </w:p>
        </w:tc>
      </w:tr>
      <w:tr>
        <w:tblPrEx>
          <w:tblLayout w:type="fixed"/>
          <w:tblCellMar>
            <w:top w:w="0" w:type="dxa"/>
            <w:left w:w="0" w:type="dxa"/>
            <w:bottom w:w="0" w:type="dxa"/>
            <w:right w:w="0" w:type="dxa"/>
          </w:tblCellMar>
        </w:tblPrEx>
        <w:trPr>
          <w:trHeight w:val="915" w:hRule="atLeast"/>
          <w:jc w:val="center"/>
        </w:trPr>
        <w:tc>
          <w:tcPr>
            <w:tcW w:w="118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序号</w:t>
            </w:r>
          </w:p>
        </w:tc>
        <w:tc>
          <w:tcPr>
            <w:tcW w:w="2670"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一次性耗材名称</w:t>
            </w:r>
          </w:p>
        </w:tc>
        <w:tc>
          <w:tcPr>
            <w:tcW w:w="118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简称</w:t>
            </w:r>
          </w:p>
        </w:tc>
        <w:tc>
          <w:tcPr>
            <w:tcW w:w="3746"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单台设备配套耗材预估3年用量</w:t>
            </w:r>
          </w:p>
        </w:tc>
        <w:tc>
          <w:tcPr>
            <w:tcW w:w="1433"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备注</w:t>
            </w:r>
          </w:p>
        </w:tc>
      </w:tr>
      <w:tr>
        <w:tblPrEx>
          <w:tblLayout w:type="fixed"/>
          <w:tblCellMar>
            <w:top w:w="0" w:type="dxa"/>
            <w:left w:w="0" w:type="dxa"/>
            <w:bottom w:w="0" w:type="dxa"/>
            <w:right w:w="0" w:type="dxa"/>
          </w:tblCellMar>
        </w:tblPrEx>
        <w:trPr>
          <w:trHeight w:val="795" w:hRule="atLeast"/>
          <w:jc w:val="center"/>
        </w:trPr>
        <w:tc>
          <w:tcPr>
            <w:tcW w:w="118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1</w:t>
            </w:r>
          </w:p>
        </w:tc>
        <w:tc>
          <w:tcPr>
            <w:tcW w:w="267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手术电极</w:t>
            </w:r>
          </w:p>
        </w:tc>
        <w:tc>
          <w:tcPr>
            <w:tcW w:w="118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3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300</w:t>
            </w:r>
          </w:p>
        </w:tc>
        <w:tc>
          <w:tcPr>
            <w:tcW w:w="1433"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795" w:hRule="atLeast"/>
          <w:jc w:val="center"/>
        </w:trPr>
        <w:tc>
          <w:tcPr>
            <w:tcW w:w="1185" w:type="dxa"/>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center"/>
              <w:textAlignment w:val="center"/>
              <w:rPr>
                <w:rFonts w:hint="eastAsia" w:ascii="黑体" w:hAnsi="宋体" w:eastAsia="黑体" w:cs="黑体"/>
                <w:i w:val="0"/>
                <w:color w:val="000000"/>
                <w:sz w:val="24"/>
                <w:szCs w:val="24"/>
                <w:u w:val="none"/>
              </w:rPr>
            </w:pPr>
            <w:r>
              <w:rPr>
                <w:rFonts w:hint="eastAsia" w:ascii="黑体" w:hAnsi="宋体" w:eastAsia="黑体" w:cs="黑体"/>
                <w:i w:val="0"/>
                <w:color w:val="000000"/>
                <w:kern w:val="0"/>
                <w:sz w:val="24"/>
                <w:szCs w:val="24"/>
                <w:u w:val="none"/>
                <w:bdr w:val="none" w:color="auto" w:sz="0" w:space="0"/>
                <w:lang w:val="en-US" w:eastAsia="zh-CN" w:bidi="ar"/>
              </w:rPr>
              <w:t>2</w:t>
            </w:r>
          </w:p>
        </w:tc>
        <w:tc>
          <w:tcPr>
            <w:tcW w:w="2670"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0"/>
                <w:szCs w:val="20"/>
                <w:u w:val="none"/>
              </w:rPr>
            </w:pPr>
            <w:r>
              <w:rPr>
                <w:rFonts w:hint="eastAsia" w:ascii="宋体" w:hAnsi="宋体" w:eastAsia="宋体" w:cs="宋体"/>
                <w:i w:val="0"/>
                <w:color w:val="000000"/>
                <w:kern w:val="0"/>
                <w:sz w:val="20"/>
                <w:szCs w:val="20"/>
                <w:u w:val="none"/>
                <w:bdr w:val="none" w:color="auto" w:sz="0" w:space="0"/>
                <w:lang w:val="en-US" w:eastAsia="zh-CN" w:bidi="ar"/>
              </w:rPr>
              <w:t>一次性等离子刀头</w:t>
            </w:r>
          </w:p>
        </w:tc>
        <w:tc>
          <w:tcPr>
            <w:tcW w:w="1185"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jc w:val="center"/>
              <w:rPr>
                <w:rFonts w:hint="eastAsia" w:ascii="宋体" w:hAnsi="宋体" w:eastAsia="宋体" w:cs="宋体"/>
                <w:b/>
                <w:i w:val="0"/>
                <w:color w:val="000000"/>
                <w:sz w:val="20"/>
                <w:szCs w:val="20"/>
                <w:u w:val="none"/>
              </w:rPr>
            </w:pPr>
          </w:p>
        </w:tc>
        <w:tc>
          <w:tcPr>
            <w:tcW w:w="3746"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keepNext w:val="0"/>
              <w:keepLines w:val="0"/>
              <w:widowControl/>
              <w:suppressLineNumbers w:val="0"/>
              <w:jc w:val="center"/>
              <w:textAlignment w:val="center"/>
              <w:rPr>
                <w:rFonts w:hint="eastAsia" w:ascii="宋体" w:hAnsi="宋体" w:eastAsia="宋体" w:cs="宋体"/>
                <w:b/>
                <w:i w:val="0"/>
                <w:color w:val="000000"/>
                <w:sz w:val="20"/>
                <w:szCs w:val="20"/>
                <w:u w:val="none"/>
              </w:rPr>
            </w:pPr>
            <w:r>
              <w:rPr>
                <w:rFonts w:hint="eastAsia" w:ascii="宋体" w:hAnsi="宋体" w:eastAsia="宋体" w:cs="宋体"/>
                <w:b/>
                <w:i w:val="0"/>
                <w:color w:val="000000"/>
                <w:kern w:val="0"/>
                <w:sz w:val="20"/>
                <w:szCs w:val="20"/>
                <w:u w:val="none"/>
                <w:bdr w:val="none" w:color="auto" w:sz="0" w:space="0"/>
                <w:lang w:val="en-US" w:eastAsia="zh-CN" w:bidi="ar"/>
              </w:rPr>
              <w:t>450</w:t>
            </w:r>
          </w:p>
        </w:tc>
        <w:tc>
          <w:tcPr>
            <w:tcW w:w="1433" w:type="dxa"/>
            <w:tcBorders>
              <w:top w:val="single" w:color="000000" w:sz="4" w:space="0"/>
              <w:left w:val="single" w:color="000000" w:sz="4" w:space="0"/>
              <w:bottom w:val="single" w:color="000000" w:sz="4" w:space="0"/>
              <w:right w:val="single" w:color="000000" w:sz="4" w:space="0"/>
            </w:tcBorders>
            <w:shd w:val="clear"/>
            <w:noWrap/>
            <w:tcMar>
              <w:top w:w="15" w:type="dxa"/>
              <w:left w:w="15" w:type="dxa"/>
              <w:right w:w="15" w:type="dxa"/>
            </w:tcMar>
            <w:vAlign w:val="center"/>
          </w:tcPr>
          <w:p>
            <w:pPr>
              <w:rPr>
                <w:rFonts w:hint="eastAsia" w:ascii="宋体" w:hAnsi="宋体" w:eastAsia="宋体" w:cs="宋体"/>
                <w:b/>
                <w:i w:val="0"/>
                <w:color w:val="000000"/>
                <w:sz w:val="20"/>
                <w:szCs w:val="20"/>
                <w:u w:val="none"/>
              </w:rPr>
            </w:pPr>
          </w:p>
        </w:tc>
      </w:tr>
      <w:tr>
        <w:tblPrEx>
          <w:tblLayout w:type="fixed"/>
          <w:tblCellMar>
            <w:top w:w="0" w:type="dxa"/>
            <w:left w:w="0" w:type="dxa"/>
            <w:bottom w:w="0" w:type="dxa"/>
            <w:right w:w="0" w:type="dxa"/>
          </w:tblCellMar>
        </w:tblPrEx>
        <w:trPr>
          <w:trHeight w:val="1076" w:hRule="atLeast"/>
          <w:jc w:val="center"/>
        </w:trPr>
        <w:tc>
          <w:tcPr>
            <w:tcW w:w="10219" w:type="dxa"/>
            <w:gridSpan w:val="5"/>
            <w:tcBorders>
              <w:top w:val="single" w:color="000000" w:sz="4" w:space="0"/>
              <w:left w:val="single" w:color="000000" w:sz="4" w:space="0"/>
              <w:bottom w:val="single" w:color="000000" w:sz="4" w:space="0"/>
              <w:right w:val="single" w:color="000000" w:sz="4" w:space="0"/>
            </w:tcBorders>
            <w:shd w:val="clear"/>
            <w:tcMar>
              <w:top w:w="15" w:type="dxa"/>
              <w:left w:w="15" w:type="dxa"/>
              <w:right w:w="15" w:type="dxa"/>
            </w:tcMar>
            <w:vAlign w:val="center"/>
          </w:tcPr>
          <w:p>
            <w:pPr>
              <w:keepNext w:val="0"/>
              <w:keepLines w:val="0"/>
              <w:widowControl/>
              <w:suppressLineNumbers w:val="0"/>
              <w:jc w:val="left"/>
              <w:textAlignment w:val="center"/>
              <w:rPr>
                <w:rFonts w:hint="eastAsia" w:ascii="宋体" w:hAnsi="宋体" w:eastAsia="宋体" w:cs="宋体"/>
                <w:i w:val="0"/>
                <w:color w:val="000000"/>
                <w:sz w:val="24"/>
                <w:szCs w:val="24"/>
                <w:u w:val="none"/>
              </w:rPr>
            </w:pPr>
            <w:r>
              <w:rPr>
                <w:rFonts w:hint="eastAsia" w:ascii="宋体" w:hAnsi="宋体" w:eastAsia="宋体" w:cs="宋体"/>
                <w:i w:val="0"/>
                <w:color w:val="000000"/>
                <w:kern w:val="0"/>
                <w:sz w:val="24"/>
                <w:szCs w:val="24"/>
                <w:u w:val="none"/>
                <w:bdr w:val="none" w:color="auto" w:sz="0" w:space="0"/>
                <w:lang w:val="en-US" w:eastAsia="zh-CN" w:bidi="ar"/>
              </w:rPr>
              <w:t>说明：“必须开展的检测治疗所使用的耗材”是指临床已经批准并依托此设备开展的的诊疗项目配套使用的一次性耗材（供应商必须响应）。</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Tahoma">
    <w:panose1 w:val="020B0604030504040204"/>
    <w:charset w:val="00"/>
    <w:family w:val="auto"/>
    <w:pitch w:val="default"/>
    <w:sig w:usb0="61007A87" w:usb1="80000000" w:usb2="00000008" w:usb3="00000000" w:csb0="200101FF" w:csb1="20280000"/>
  </w:font>
  <w:font w:name="方正小标宋简体">
    <w:altName w:val="宋体-方正超大字符集"/>
    <w:panose1 w:val="00000000000000000000"/>
    <w:charset w:val="00"/>
    <w:family w:val="auto"/>
    <w:pitch w:val="default"/>
    <w:sig w:usb0="00000000" w:usb1="00000000" w:usb2="00000000" w:usb3="00000000" w:csb0="00000000" w:csb1="00000000"/>
  </w:font>
  <w:font w:name="宋体-方正超大字符集">
    <w:panose1 w:val="03000509000000000000"/>
    <w:charset w:val="86"/>
    <w:family w:val="auto"/>
    <w:pitch w:val="default"/>
    <w:sig w:usb0="00000001" w:usb1="080E0000" w:usb2="00000000" w:usb3="00000000" w:csb0="00040000" w:csb1="00000000"/>
  </w:font>
  <w:font w:name="Segoe UI Symbol">
    <w:altName w:val="Symbol"/>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6A076A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Layout w:type="fixed"/>
      <w:tblCellMar>
        <w:top w:w="0" w:type="dxa"/>
        <w:left w:w="108" w:type="dxa"/>
        <w:bottom w:w="0" w:type="dxa"/>
        <w:right w:w="108" w:type="dxa"/>
      </w:tblCellMar>
    </w:tblPr>
  </w:style>
  <w:style w:type="character" w:customStyle="1" w:styleId="4">
    <w:name w:val="font51"/>
    <w:basedOn w:val="3"/>
    <w:uiPriority w:val="0"/>
    <w:rPr>
      <w:rFonts w:hint="eastAsia" w:ascii="宋体" w:hAnsi="宋体" w:eastAsia="宋体" w:cs="宋体"/>
      <w:color w:val="000000"/>
      <w:sz w:val="22"/>
      <w:szCs w:val="22"/>
      <w:u w:val="none"/>
    </w:rPr>
  </w:style>
  <w:style w:type="character" w:customStyle="1" w:styleId="5">
    <w:name w:val="font141"/>
    <w:basedOn w:val="3"/>
    <w:uiPriority w:val="0"/>
    <w:rPr>
      <w:rFonts w:hint="eastAsia" w:ascii="宋体" w:hAnsi="宋体" w:eastAsia="宋体" w:cs="宋体"/>
      <w:color w:val="000000"/>
      <w:sz w:val="22"/>
      <w:szCs w:val="22"/>
      <w:u w:val="none"/>
    </w:rPr>
  </w:style>
  <w:style w:type="character" w:customStyle="1" w:styleId="6">
    <w:name w:val="font41"/>
    <w:basedOn w:val="3"/>
    <w:uiPriority w:val="0"/>
    <w:rPr>
      <w:rFonts w:hint="eastAsia" w:ascii="宋体" w:hAnsi="宋体" w:eastAsia="宋体" w:cs="宋体"/>
      <w:color w:val="000000"/>
      <w:sz w:val="22"/>
      <w:szCs w:val="22"/>
      <w:u w:val="none"/>
    </w:rPr>
  </w:style>
  <w:style w:type="character" w:customStyle="1" w:styleId="7">
    <w:name w:val="font21"/>
    <w:basedOn w:val="3"/>
    <w:uiPriority w:val="0"/>
    <w:rPr>
      <w:rFonts w:ascii="Segoe UI Symbol" w:hAnsi="Segoe UI Symbol" w:eastAsia="Segoe UI Symbol" w:cs="Segoe UI Symbol"/>
      <w:color w:val="000000"/>
      <w:sz w:val="22"/>
      <w:szCs w:val="22"/>
      <w:u w:val="none"/>
    </w:rPr>
  </w:style>
  <w:style w:type="character" w:customStyle="1" w:styleId="8">
    <w:name w:val="font61"/>
    <w:basedOn w:val="3"/>
    <w:uiPriority w:val="0"/>
    <w:rPr>
      <w:rFonts w:hint="eastAsia" w:ascii="宋体" w:hAnsi="宋体" w:eastAsia="宋体" w:cs="宋体"/>
      <w:color w:val="000000"/>
      <w:sz w:val="24"/>
      <w:szCs w:val="24"/>
      <w:u w:val="none"/>
    </w:rPr>
  </w:style>
  <w:style w:type="character" w:customStyle="1" w:styleId="9">
    <w:name w:val="font11"/>
    <w:basedOn w:val="3"/>
    <w:uiPriority w:val="0"/>
    <w:rPr>
      <w:rFonts w:hint="default" w:ascii="Times New Roman" w:hAnsi="Times New Roman" w:cs="Times New Roman"/>
      <w:color w:val="000000"/>
      <w:sz w:val="24"/>
      <w:szCs w:val="24"/>
      <w:u w:val="none"/>
    </w:rPr>
  </w:style>
  <w:style w:type="character" w:customStyle="1" w:styleId="10">
    <w:name w:val="font121"/>
    <w:basedOn w:val="3"/>
    <w:uiPriority w:val="0"/>
    <w:rPr>
      <w:rFonts w:hint="eastAsia" w:ascii="宋体" w:hAnsi="宋体" w:eastAsia="宋体" w:cs="宋体"/>
      <w:color w:val="000000"/>
      <w:sz w:val="40"/>
      <w:szCs w:val="40"/>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8</TotalTime>
  <ScaleCrop>false</ScaleCrop>
  <LinksUpToDate>false</LinksUpToDate>
  <CharactersWithSpaces>0</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2024-01-19T00:21:26Z</dcterms:created>
  <dc:creator>doctor</dc:creator>
  <cp:lastModifiedBy>doctor</cp:lastModifiedBy>
  <dcterms:modified xsi:type="dcterms:W3CDTF">2024-01-19T00:35:06Z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