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adjustRightInd w:val="0"/>
        <w:snapToGrid w:val="0"/>
        <w:spacing w:line="560" w:lineRule="exact"/>
        <w:jc w:val="center"/>
        <w:outlineLvl w:val="1"/>
        <w:rPr>
          <w:rFonts w:ascii="Arial" w:hAnsi="Arial" w:eastAsia="方正小标宋简体" w:cs="Times New Roman"/>
          <w:b w:val="0"/>
          <w:bCs/>
          <w:color w:val="auto"/>
          <w:kern w:val="2"/>
          <w:sz w:val="44"/>
          <w:szCs w:val="44"/>
          <w:highlight w:val="none"/>
          <w:lang w:val="zh-CN" w:eastAsia="zh-CN" w:bidi="ar-SA"/>
        </w:rPr>
      </w:pPr>
      <w:bookmarkStart w:id="0" w:name="_Toc132191257"/>
      <w:bookmarkStart w:id="1" w:name="_Toc130888005"/>
      <w:bookmarkStart w:id="2" w:name="_Toc132186973"/>
      <w:bookmarkStart w:id="3" w:name="_Toc128470293"/>
      <w:bookmarkStart w:id="4" w:name="_Toc9692"/>
      <w:bookmarkStart w:id="5" w:name="_Toc32050"/>
      <w:bookmarkStart w:id="6" w:name="_Toc28545"/>
      <w:bookmarkStart w:id="7" w:name="_Toc130661176"/>
      <w:bookmarkStart w:id="8" w:name="_Toc128154366"/>
      <w:bookmarkStart w:id="9" w:name="_Toc21632"/>
      <w:bookmarkStart w:id="10" w:name="_Toc112317781"/>
      <w:bookmarkStart w:id="11" w:name="_Toc30564"/>
      <w:bookmarkStart w:id="12" w:name="_Toc112768491"/>
      <w:r>
        <w:rPr>
          <w:rFonts w:hint="eastAsia" w:ascii="Arial" w:hAnsi="Arial" w:eastAsia="方正小标宋简体" w:cs="Times New Roman"/>
          <w:b w:val="0"/>
          <w:bCs/>
          <w:color w:val="auto"/>
          <w:kern w:val="2"/>
          <w:sz w:val="44"/>
          <w:szCs w:val="44"/>
          <w:highlight w:val="none"/>
          <w:lang w:val="zh-CN" w:eastAsia="zh-CN" w:bidi="ar-SA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keepNext/>
        <w:keepLines/>
        <w:widowControl w:val="0"/>
        <w:spacing w:before="0" w:after="0" w:line="560" w:lineRule="exact"/>
        <w:ind w:firstLine="560" w:firstLineChars="200"/>
        <w:jc w:val="both"/>
        <w:outlineLvl w:val="2"/>
        <w:rPr>
          <w:rFonts w:ascii="黑体" w:hAnsi="黑体" w:eastAsia="黑体" w:cs="黑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13" w:name="_Toc112681847"/>
      <w:bookmarkStart w:id="14" w:name="_Toc132191258"/>
      <w:bookmarkStart w:id="15" w:name="_Toc128470294"/>
      <w:bookmarkStart w:id="16" w:name="_Toc22203"/>
      <w:bookmarkStart w:id="17" w:name="_Toc130888006"/>
      <w:bookmarkStart w:id="18" w:name="_Toc22977"/>
      <w:bookmarkStart w:id="19" w:name="_Toc14060"/>
      <w:bookmarkStart w:id="20" w:name="_Toc32238"/>
      <w:bookmarkStart w:id="21" w:name="_Toc132186974"/>
      <w:bookmarkStart w:id="22" w:name="_Toc13168"/>
      <w:bookmarkStart w:id="23" w:name="_Toc112768493"/>
      <w:bookmarkStart w:id="24" w:name="_Toc128154367"/>
      <w:bookmarkStart w:id="25" w:name="_Toc285612596"/>
      <w:r>
        <w:rPr>
          <w:rFonts w:hint="eastAsia" w:ascii="黑体" w:hAnsi="黑体" w:eastAsia="黑体" w:cs="黑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一、商务要求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eastAsia="黑体" w:cs="黑体"/>
          <w:b w:val="0"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(均为★标识指标，不接受负偏离，投标人须逐条响应）</w:t>
      </w:r>
    </w:p>
    <w:p>
      <w:pPr>
        <w:widowControl w:val="0"/>
        <w:spacing w:line="560" w:lineRule="exact"/>
        <w:ind w:left="11" w:firstLine="560" w:firstLineChars="200"/>
        <w:jc w:val="both"/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（一）</w:t>
      </w: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交货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时间</w:t>
      </w: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、地点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和方式</w:t>
      </w:r>
    </w:p>
    <w:p>
      <w:pPr>
        <w:widowControl w:val="0"/>
        <w:spacing w:line="560" w:lineRule="exact"/>
        <w:ind w:left="11" w:firstLine="560" w:firstLineChars="200"/>
        <w:jc w:val="both"/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ascii="宋体" w:hAnsi="宋体" w:eastAsia="宋体" w:cs="宋体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1.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交货时间：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>合同签订后3个月内交付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。</w:t>
      </w:r>
    </w:p>
    <w:p>
      <w:pPr>
        <w:widowControl w:val="0"/>
        <w:spacing w:line="560" w:lineRule="exact"/>
        <w:ind w:left="11" w:firstLine="560" w:firstLineChars="200"/>
        <w:jc w:val="both"/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ascii="宋体" w:hAnsi="宋体" w:eastAsia="宋体" w:cs="宋体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2.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交货地点：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>由甲方指定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。</w:t>
      </w:r>
    </w:p>
    <w:p>
      <w:pPr>
        <w:widowControl w:val="0"/>
        <w:spacing w:line="560" w:lineRule="exact"/>
        <w:ind w:left="11" w:firstLine="560" w:firstLineChars="200"/>
        <w:jc w:val="both"/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ascii="宋体" w:hAnsi="宋体" w:eastAsia="宋体" w:cs="宋体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3.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交货方式：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/</w:t>
      </w: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spacing w:line="560" w:lineRule="exact"/>
        <w:ind w:firstLine="560" w:firstLineChars="200"/>
        <w:jc w:val="both"/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（二）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售后服务</w:t>
      </w:r>
    </w:p>
    <w:tbl>
      <w:tblPr>
        <w:tblStyle w:val="6"/>
        <w:tblW w:w="938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"/>
        <w:gridCol w:w="5415"/>
        <w:gridCol w:w="975"/>
        <w:gridCol w:w="181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384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bookmarkStart w:id="31" w:name="_GoBack"/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商务要求表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保修年限不低于1年，全年故障停机时间不高于5%（按365日/年计算)。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保修期内免费提供定期维护保养服务、免费软件升级和维护、免费培训5人至熟练使用为止。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提供不少于2人次、2天的工程师维修培训。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维修响应时间≤4小时，维修到达现场时间≤48小时。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bookmarkEnd w:id="31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ascii="Times New Roman" w:hAnsi="Times New Roman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（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三</w:t>
      </w: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）</w:t>
      </w:r>
      <w:r>
        <w:rPr>
          <w:rFonts w:hint="eastAsia"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知识产权</w:t>
      </w:r>
      <w:r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和保密要求</w:t>
      </w:r>
    </w:p>
    <w:p>
      <w:pPr>
        <w:widowControl w:val="0"/>
        <w:spacing w:line="560" w:lineRule="exact"/>
        <w:ind w:firstLine="560" w:firstLineChars="200"/>
        <w:jc w:val="both"/>
        <w:rPr>
          <w:rFonts w:ascii="Times New Roman" w:hAnsi="Times New Roman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材料</w:t>
      </w:r>
      <w:r>
        <w:rPr>
          <w:rFonts w:hint="eastAsia" w:ascii="Times New Roman" w:hAnsi="Times New Roman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。</w:t>
      </w:r>
    </w:p>
    <w:p>
      <w:pPr>
        <w:widowControl w:val="0"/>
        <w:spacing w:line="560" w:lineRule="exact"/>
        <w:ind w:firstLine="560" w:firstLineChars="200"/>
        <w:jc w:val="both"/>
        <w:rPr>
          <w:rFonts w:ascii="Times New Roman" w:hAnsi="Times New Roman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基于项目合同履行形成的知识产权和其他权益，其权属归采购单位所有，法律另有规定的除外。</w:t>
      </w:r>
    </w:p>
    <w:p>
      <w:pPr>
        <w:widowControl w:val="0"/>
        <w:spacing w:line="560" w:lineRule="exact"/>
        <w:ind w:firstLine="560" w:firstLineChars="200"/>
        <w:jc w:val="both"/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（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四</w:t>
      </w:r>
      <w:r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）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物资编目编码、打码贴签</w:t>
      </w:r>
      <w:r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要求</w:t>
      </w:r>
    </w:p>
    <w:p>
      <w:pPr>
        <w:widowControl w:val="0"/>
        <w:spacing w:line="560" w:lineRule="exact"/>
        <w:ind w:firstLine="560" w:firstLineChars="200"/>
        <w:jc w:val="both"/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本项目对物资的编目编码、打码贴签要求，投标供应商应当予以明确响应，相关费用包含在报价中。</w:t>
      </w:r>
    </w:p>
    <w:p>
      <w:pPr>
        <w:widowControl w:val="0"/>
        <w:spacing w:line="560" w:lineRule="exact"/>
        <w:ind w:firstLine="560" w:firstLineChars="200"/>
        <w:jc w:val="both"/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（</w:t>
      </w:r>
      <w:r>
        <w:rPr>
          <w:rFonts w:hint="eastAsia" w:ascii="宋体" w:hAnsi="宋体" w:eastAsia="宋体" w:cs="Times New Roman"/>
          <w:bCs/>
          <w:snapToGrid w:val="0"/>
          <w:color w:val="auto"/>
          <w:kern w:val="0"/>
          <w:sz w:val="28"/>
          <w:szCs w:val="28"/>
          <w:highlight w:val="none"/>
          <w:lang w:val="en-US" w:eastAsia="zh-CN" w:bidi="ar-SA"/>
        </w:rPr>
        <w:t>五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）付款及结算方式</w:t>
      </w:r>
    </w:p>
    <w:p>
      <w:pPr>
        <w:widowControl w:val="0"/>
        <w:spacing w:line="560" w:lineRule="exact"/>
        <w:ind w:left="11" w:firstLine="560" w:firstLineChars="200"/>
        <w:jc w:val="both"/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签订合同付（预付）0%，物资到货（服务完成）验收后付95%。</w:t>
      </w:r>
    </w:p>
    <w:p>
      <w:pPr>
        <w:widowControl w:val="0"/>
        <w:spacing w:line="560" w:lineRule="exact"/>
        <w:ind w:firstLine="560" w:firstLineChars="200"/>
        <w:jc w:val="both"/>
        <w:rPr>
          <w:rFonts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（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六</w:t>
      </w: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  <w:t>）履约保证金和质量保证金</w:t>
      </w:r>
    </w:p>
    <w:p>
      <w:pPr>
        <w:widowControl w:val="0"/>
        <w:spacing w:line="560" w:lineRule="exact"/>
        <w:ind w:left="11" w:firstLine="560" w:firstLineChars="200"/>
        <w:jc w:val="both"/>
        <w:rPr>
          <w:rFonts w:ascii="Times New Roman" w:hAnsi="宋体" w:eastAsia="宋体" w:cs="Times New Roman"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Times New Roman"/>
          <w:bCs/>
          <w:color w:val="auto"/>
          <w:kern w:val="0"/>
          <w:sz w:val="28"/>
          <w:szCs w:val="28"/>
          <w:highlight w:val="none"/>
          <w:u w:val="none"/>
          <w:lang w:val="zh-CN" w:eastAsia="zh-CN" w:bidi="ar-SA"/>
        </w:rPr>
        <w:t>验收合格后满1年无质量问题支付剩余5%（不超过5%）。</w:t>
      </w:r>
    </w:p>
    <w:p>
      <w:pPr>
        <w:widowControl w:val="0"/>
        <w:autoSpaceDE w:val="0"/>
        <w:autoSpaceDN w:val="0"/>
        <w:adjustRightInd w:val="0"/>
        <w:rPr>
          <w:rFonts w:hint="eastAsia" w:ascii="黑体" w:hAnsi="Times New Roman" w:eastAsia="黑体" w:cs="Times New Roman"/>
          <w:color w:val="auto"/>
          <w:highlight w:val="none"/>
          <w:lang w:val="zh-CN" w:eastAsia="zh-CN" w:bidi="ar-SA"/>
        </w:rPr>
      </w:pPr>
    </w:p>
    <w:bookmarkEnd w:id="25"/>
    <w:p>
      <w:pPr>
        <w:keepNext/>
        <w:keepLines/>
        <w:widowControl w:val="0"/>
        <w:spacing w:before="0" w:after="0" w:line="560" w:lineRule="exact"/>
        <w:ind w:firstLine="560" w:firstLineChars="200"/>
        <w:jc w:val="both"/>
        <w:outlineLvl w:val="2"/>
        <w:rPr>
          <w:rFonts w:ascii="黑体" w:hAnsi="黑体" w:eastAsia="黑体" w:cs="黑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26" w:name="_Toc128470295"/>
      <w:bookmarkStart w:id="27" w:name="_Toc132191259"/>
      <w:bookmarkStart w:id="28" w:name="_Toc128154368"/>
      <w:bookmarkStart w:id="29" w:name="_Toc130888007"/>
      <w:bookmarkStart w:id="30" w:name="_Toc132186975"/>
      <w:r>
        <w:rPr>
          <w:rFonts w:hint="eastAsia" w:ascii="黑体" w:hAnsi="黑体" w:eastAsia="黑体" w:cs="黑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二、技术要求</w:t>
      </w:r>
      <w:bookmarkEnd w:id="26"/>
      <w:bookmarkEnd w:id="27"/>
      <w:bookmarkEnd w:id="28"/>
      <w:bookmarkEnd w:id="29"/>
      <w:bookmarkEnd w:id="30"/>
    </w:p>
    <w:tbl>
      <w:tblPr>
        <w:tblStyle w:val="6"/>
        <w:tblW w:w="986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1203"/>
        <w:gridCol w:w="670"/>
        <w:gridCol w:w="3494"/>
        <w:gridCol w:w="1918"/>
        <w:gridCol w:w="560"/>
        <w:gridCol w:w="1495"/>
        <w:gridCol w:w="1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70" w:hRule="atLeast"/>
        </w:trPr>
        <w:tc>
          <w:tcPr>
            <w:tcW w:w="9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highlight w:val="none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23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激光散斑血流成像系统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</w:rPr>
              <w:t>46（1套）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2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性质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12" w:hRule="atLeast"/>
        </w:trPr>
        <w:tc>
          <w:tcPr>
            <w:tcW w:w="98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使用非侵入性、非接触、非造影剂的成像方式，实现对任何暴露组织或器官微循环血流量的测量。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CMOS高速相机，分辨率≥1920*1080像素；监测激光最大输出功率≥90mW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激光光源、指示激光光源与照明光源分开，激光类型：激光二极管，波长≥785nm；指示激光类型：激光二极管，波长≥650nm；明场图和伪彩图可实现像素级匹配，激光安全等级符合Class 1。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成像速度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血流成像速度≥90FPS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73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自动对焦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支持自动对焦，光学变焦倍数≥10X，可通过软件实现调焦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73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血流监测范围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可检测最大血流量≥5000PU；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成像效果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可得出伪彩图、灰度图、彩色明场图、叠加图、强度图,通过增强算法和高信噪比算法等强化成像效果;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73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图像监测面积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最小成像面积≤10mm*10mm；最大成像面积≥200mm*300mm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73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图像空间分辨率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none"/>
                <w:lang w:val="en-US" w:eastAsia="zh-CN" w:bidi="ar"/>
              </w:rPr>
              <w:t>最佳空间分辨率≤4</w:t>
            </w:r>
            <w:r>
              <w:rPr>
                <w:rFonts w:hint="default" w:eastAsia="宋体"/>
                <w:color w:val="auto"/>
                <w:szCs w:val="21"/>
                <w:highlight w:val="none"/>
                <w:u w:val="none"/>
                <w:lang w:val="en-US" w:eastAsia="zh-CN" w:bidi="ar"/>
              </w:rPr>
              <w:t>μm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none"/>
                <w:lang w:val="en-US" w:eastAsia="zh-CN" w:bidi="ar"/>
              </w:rPr>
              <w:t>/像素；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73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ROI和TOI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可在记录过程中任意添加感兴趣区域ROI（空间）和感兴趣时间段TOI（时间），并进行载入；ROI的通道数量≥40个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0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ROI选择和分析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支持任意形状及数量的ROI选择、删除，ROI位置与大小自由拖放编辑，以及在线/离线分析ROI流速均值，并保存ROI的面积；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记录模式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至少具备连续记录和间隔记录两种模式；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带定位网格，可任意调节网格大小；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截图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支持软件界面的截图、截屏操作；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事件标记功能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具有事件标记功能，BNC扩展接口数量≥2个，通过接口实现与外界设备的信号同步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原始图像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实时显示原始图像的灰度分布&amp;均值&amp;最大值、ROI区域内流速均值的变化；支持导出color bar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记录过程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可以在记录过程中，任意选择多根血管，实时显示管径值的变化和角度；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成像工作距离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最小工作距离≤15cm；最大工作距离≥35cm，软件可实时显示当前工作距离，精度≤0.01mm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视频文件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可以将监测记录导出为AVI、MP4等格式视频文件，可导出曲线、血流数据、灌注视频等文件，视频最慢播放倍速≤0.25X；最大播放倍速≥64X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动物固定装置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动物固定装置的耳杆最大调节范围为≥20mm，装置可适用于成年小鼠及幼年大鼠。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动物颅骨打磨装置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打磨转速≥35,000rpm；可进行正转及反转打磨；支持手动或脚踏控制；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线栓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配套与仪器厂家同品牌的小鼠21-25g线栓，400g以上大鼠线栓各一盒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散斑软件系统，并在使用期间提供免费系统升级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配置要求2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5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none"/>
                <w:lang w:val="en-US" w:eastAsia="zh-CN" w:bidi="ar"/>
              </w:rPr>
              <w:t>血流成像系统主机（含升降臂及激光器）1台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u w:val="none"/>
                <w:lang w:val="en-US" w:eastAsia="zh-CN" w:bidi="ar"/>
              </w:rPr>
              <w:t>国产品牌电脑 1套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（主机：CPU≥3.1GHz，内存≥16G，硬盘≥2TB，显卡≥6G，电源≥310W。显示器：尺寸≥20.7寸，分辨率≥1920*1080，视频接口HDMI≥1个。）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86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15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★标识的指标负偏离≥1项，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投标企业按无效报价处理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7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15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7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15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</w:tbl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color w:val="auto"/>
          <w:sz w:val="28"/>
          <w:szCs w:val="28"/>
          <w:highlight w:val="none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</w:p>
    <w:p/>
    <w:sectPr>
      <w:head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楷体_GB2312" w:hAnsi="楷体" w:eastAsia="楷体_GB2312" w:cs="楷体"/>
        <w:kern w:val="2"/>
        <w:sz w:val="21"/>
        <w:szCs w:val="21"/>
        <w:lang w:val="en-US" w:eastAsia="zh-CN" w:bidi="ar-SA"/>
      </w:rPr>
    </w:pPr>
    <w:r>
      <w:rPr>
        <w:rFonts w:hint="eastAsia" w:ascii="楷体_GB2312" w:hAnsi="楷体" w:eastAsia="楷体_GB2312" w:cs="楷体"/>
        <w:kern w:val="2"/>
        <w:sz w:val="21"/>
        <w:szCs w:val="21"/>
        <w:lang w:val="en-US" w:eastAsia="zh-CN" w:bidi="ar-SA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PowerPlusWaterMarkObject124978362" o:spid="_x0000_s2054" o:spt="136" type="#_x0000_t136" style="position:absolute;left:0pt;height:219.8pt;width:439.6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PowerPlusWaterMarkObject124978361" o:spid="_x0000_s2053" o:spt="136" type="#_x0000_t136" style="position:absolute;left:0pt;height:219.8pt;width:439.6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D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2024-06-07T09:23:50Z</dcterms:created>
  <dc:creator>DOCTOR</dc:creator>
  <cp:lastModifiedBy>DOCTOR</cp:lastModifiedBy>
  <dcterms:modified xsi:type="dcterms:W3CDTF">2024-06-07T09:24:52Z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3F961D2D10AB46D0911C102897D825B4</vt:lpwstr>
  </property>
</Properties>
</file>