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2024-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JQ06-W1049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单细胞测序建库仪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用于单细胞测序的建库，基因组的分析，以及其他单细胞水平的功能分析。</w:t>
            </w:r>
          </w:p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系统兼容单细胞3’表达谱测序，单细胞5’表达谱测序，单细胞VDJ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全长测序， 单细胞表面抗原，3’单细胞CRISPR，5’单细胞CRISPR，单细胞多重抗原特异性检测，单细胞ATAC测序，单细胞多组学测序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检测原理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采用先进的微流控系统，高通量的对样品进行分离并带上序列标签，最终达到高通量检测的目的。</w:t>
            </w:r>
          </w:p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单细胞测序机制：油滴-barcode-单细胞的对应关系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液滴反应时间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纳升级液滴反应体系自动生成时间≤20min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液滴反应数目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产生独立的纳升级液滴反应体系数≥8万；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胶珠种类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带标记胶珠种类≥300万；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单次检测样本量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采用8通道捕获芯片，单次检测反应数≥7、检测样本数≥96；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单个样本细胞检测数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每个样本可检测10000～80000个细胞；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细胞捕获率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细胞捕获效率≥60%；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兼容样本种类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兼容样本类型至少包括外周血细胞、组织解离细胞、培养细胞、细胞核、原生质体等；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兼容细胞大小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兼容细胞大小1μm～30μm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/>
                <w:szCs w:val="21"/>
              </w:rPr>
              <w:t>分子片段长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分析可将短Reads组装成长达50-100Kb的linked-reads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单细胞文库构建种类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单细胞文库构建种类≥7，至少包括3’表达谱文库、5’表达谱文库、ATAC文库、CRISPR文库、细胞表面蛋白文库、抗原特异性筛选文库、T/B细胞VDJ全长序列测序文库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单个细胞可实现实验种类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可同时实现同一单细胞的四重实验，包括T细胞抗原特异筛选、表面蛋白、5’全转录组和VDJ全长序列。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单倍体分析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可实现染色体级别Phasing，获得精确的单体型信息。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建库周期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一天内即完成从细胞悬液到cDNA文库构建所有的测序准备工作；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细胞捕获效率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单个细胞捕获效率高达65%，可准确鉴别稀有细胞类型；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可分析数据类型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可分析单细胞表达谱数据、单细胞VDJ数据、单细胞抗原特异性、单细胞ATAC数据及多组学联合数据；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软件可分析数据格式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可将BCL文件转化为fastq文件；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分析软件数据结果类型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可对测序数据进行质控及分析，得到细胞基因表达矩阵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软件具备细胞筛选功能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具有筛选可信细胞的功能；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软件分析功能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具有数据过滤、归一化、标准化、数据降维、数据聚类功能；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细胞注释功能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具有细胞类型注释功能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VDJ全长分析功能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可分析组装T/B细胞的VDJ全长序列；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单细胞多组学分析功能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可得到细胞染色质开放区的表达矩阵及转录因子表达矩阵；可进行同一细胞核ATAC数据与GEX数据联合，并进行相互调控分析。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/>
                <w:szCs w:val="21"/>
              </w:rPr>
              <w:t>测序平台兼容度广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与Illumina各种型号的平台高度兼容。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 xml:space="preserve">单细胞测序系统：1套                       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单细胞数据分析软件以及可视化数据分析软件：各1套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配置清单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操作工作站一套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配置清单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sym w:font="Wingdings 2" w:char="0052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有配套一次性耗材（试剂）（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sym w:font="Wingdings 2" w:char="0052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开放 □ 封闭）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合同签订后3个月内交货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签订合同,物资到货（服务完成）验收合格后付95%。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验收合格后满1年无质量问题支付剩余5%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≥1年，保修期内开机率不低于95%（按365日/年计算，含节假日)，未达到要求的开机率天数，按双倍天数顺延保修期。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保修期内按维修手册要求提供定期维护保养服务，提供使用培训和工程师原厂培训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提供不少于3人次、3天的工程师维修培训。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维修到达现场时间≤0.5个工作日（京内）</w:t>
            </w:r>
          </w:p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维修到达现场时间≤3个工作日（京外）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升级与软件维护：保修期内免费升级和软件维护；保修期外，原软件维护仅收工时费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维修工时费计算方法及价格：至少提供按小时计费和按故障点计费两种方式，用户可自行选择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提供设备配套的维修专用工具（如有），资料（操作手册、维修手册等）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firstLine="0" w:firstLineChars="0"/>
              <w:rPr>
                <w:rFonts w:asciiTheme="minorEastAsia" w:hAnsi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▲标识的指标负偏离≥5项，投标企业技术分值为0分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▲标识的指标和“无标识”指标负偏离≥10项，投标企业技术分值为0分</w:t>
            </w:r>
          </w:p>
        </w:tc>
      </w:tr>
    </w:tbl>
    <w:p>
      <w:pPr>
        <w:pStyle w:val="4"/>
        <w:spacing w:line="572" w:lineRule="exact"/>
        <w:ind w:firstLine="0" w:firstLineChars="0"/>
        <w:rPr>
          <w:rFonts w:ascii="黑体" w:hAnsi="黑体" w:eastAsia="黑体" w:cs="黑体"/>
          <w:kern w:val="0"/>
          <w:sz w:val="32"/>
          <w:szCs w:val="32"/>
        </w:rPr>
        <w:sectPr>
          <w:footerReference r:id="rId3" w:type="firs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</w:p>
    <w:p>
      <w:pPr>
        <w:overflowPunct w:val="0"/>
        <w:spacing w:beforeLines="50" w:afterLines="50" w:line="572" w:lineRule="exact"/>
      </w:pPr>
    </w:p>
    <w:sectPr>
      <w:footerReference r:id="rId5" w:type="firs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326D"/>
    <w:rsid w:val="000076CF"/>
    <w:rsid w:val="000218C1"/>
    <w:rsid w:val="0010176C"/>
    <w:rsid w:val="001E7E48"/>
    <w:rsid w:val="001F0A3F"/>
    <w:rsid w:val="00290DCC"/>
    <w:rsid w:val="00327EED"/>
    <w:rsid w:val="00451825"/>
    <w:rsid w:val="004D79C4"/>
    <w:rsid w:val="005C6FF7"/>
    <w:rsid w:val="00610347"/>
    <w:rsid w:val="006A5776"/>
    <w:rsid w:val="008C7953"/>
    <w:rsid w:val="00957206"/>
    <w:rsid w:val="00984243"/>
    <w:rsid w:val="009C7B61"/>
    <w:rsid w:val="009E334A"/>
    <w:rsid w:val="00B3146E"/>
    <w:rsid w:val="00B63306"/>
    <w:rsid w:val="00BA1E7F"/>
    <w:rsid w:val="00CD189D"/>
    <w:rsid w:val="00D23A18"/>
    <w:rsid w:val="00D64796"/>
    <w:rsid w:val="00DE7D50"/>
    <w:rsid w:val="00EA326D"/>
    <w:rsid w:val="00EC0ABD"/>
    <w:rsid w:val="00FB4324"/>
    <w:rsid w:val="01480033"/>
    <w:rsid w:val="04952E40"/>
    <w:rsid w:val="0B6A4912"/>
    <w:rsid w:val="0E4F6054"/>
    <w:rsid w:val="1BB31B3A"/>
    <w:rsid w:val="1EDD025A"/>
    <w:rsid w:val="28A6031F"/>
    <w:rsid w:val="3E134928"/>
    <w:rsid w:val="3EE206C7"/>
    <w:rsid w:val="41444D44"/>
    <w:rsid w:val="58D648A5"/>
    <w:rsid w:val="64DD3E87"/>
    <w:rsid w:val="6BCE322E"/>
    <w:rsid w:val="7F4D202F"/>
    <w:rsid w:val="7F7A55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link w:val="9"/>
    <w:qFormat/>
    <w:uiPriority w:val="0"/>
    <w:pPr>
      <w:spacing w:after="120"/>
    </w:pPr>
  </w:style>
  <w:style w:type="paragraph" w:styleId="4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 Char"/>
    <w:basedOn w:val="8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0">
    <w:name w:val="正文文本缩进 Char"/>
    <w:basedOn w:val="8"/>
    <w:link w:val="4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3">
    <w:name w:val="页眉 Char"/>
    <w:basedOn w:val="8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5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PLA</Company>
  <Pages>5</Pages>
  <Words>452</Words>
  <Characters>2578</Characters>
  <Lines>21</Lines>
  <Paragraphs>6</Paragraphs>
  <TotalTime>5</TotalTime>
  <ScaleCrop>false</ScaleCrop>
  <LinksUpToDate>false</LinksUpToDate>
  <CharactersWithSpaces>3024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2024-03-27T06:25:00Z</dcterms:created>
  <dc:creator>Administrator</dc:creator>
  <cp:lastModifiedBy>cy</cp:lastModifiedBy>
  <cp:lastPrinted>2024-05-09T08:55:00Z</cp:lastPrinted>
  <dcterms:modified xsi:type="dcterms:W3CDTF">2024-06-14T09:43:11Z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