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4E" w:rsidRDefault="0000206E" w:rsidP="00F9538E">
      <w:pPr>
        <w:overflowPunct w:val="0"/>
        <w:spacing w:beforeLines="50" w:afterLines="50" w:line="572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采购需求表（物资类）</w:t>
      </w:r>
    </w:p>
    <w:tbl>
      <w:tblPr>
        <w:tblpPr w:leftFromText="180" w:rightFromText="180" w:vertAnchor="text" w:horzAnchor="page" w:tblpX="1562" w:tblpY="807"/>
        <w:tblOverlap w:val="never"/>
        <w:tblW w:w="9060" w:type="dxa"/>
        <w:tblLayout w:type="fixed"/>
        <w:tblLook w:val="04A0"/>
      </w:tblPr>
      <w:tblGrid>
        <w:gridCol w:w="501"/>
        <w:gridCol w:w="316"/>
        <w:gridCol w:w="353"/>
        <w:gridCol w:w="720"/>
        <w:gridCol w:w="203"/>
        <w:gridCol w:w="142"/>
        <w:gridCol w:w="375"/>
        <w:gridCol w:w="192"/>
        <w:gridCol w:w="1134"/>
        <w:gridCol w:w="1959"/>
        <w:gridCol w:w="1208"/>
        <w:gridCol w:w="727"/>
        <w:gridCol w:w="1230"/>
      </w:tblGrid>
      <w:tr w:rsidR="00F2794E">
        <w:trPr>
          <w:trHeight w:val="500"/>
        </w:trPr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编号</w:t>
            </w:r>
          </w:p>
        </w:tc>
        <w:tc>
          <w:tcPr>
            <w:tcW w:w="1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2024-JQ06-W1039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项目名称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气相色谱仪（</w:t>
            </w:r>
            <w:r>
              <w:rPr>
                <w:rFonts w:ascii="黑体" w:eastAsia="黑体" w:hAnsi="宋体" w:cs="黑体" w:hint="eastAsia"/>
                <w:sz w:val="20"/>
              </w:rPr>
              <w:t>FID</w:t>
            </w:r>
            <w:r>
              <w:rPr>
                <w:rFonts w:ascii="黑体" w:eastAsia="黑体" w:hAnsi="宋体" w:cs="黑体" w:hint="eastAsia"/>
                <w:sz w:val="20"/>
              </w:rPr>
              <w:t>和</w:t>
            </w:r>
            <w:r>
              <w:rPr>
                <w:rFonts w:ascii="黑体" w:eastAsia="黑体" w:hAnsi="宋体" w:cs="黑体" w:hint="eastAsia"/>
                <w:sz w:val="20"/>
              </w:rPr>
              <w:t>ECD</w:t>
            </w:r>
            <w:r>
              <w:rPr>
                <w:rFonts w:ascii="黑体" w:eastAsia="黑体" w:hAnsi="宋体" w:cs="黑体" w:hint="eastAsia"/>
                <w:sz w:val="20"/>
              </w:rPr>
              <w:t>检测器，配备顶空进样器）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sz w:val="20"/>
              </w:rPr>
              <w:t>100</w:t>
            </w: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序号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需求名称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参数</w:t>
            </w:r>
          </w:p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是否</w:t>
            </w:r>
            <w:r>
              <w:rPr>
                <w:rFonts w:ascii="黑体" w:eastAsia="黑体" w:hAnsi="宋体" w:cs="黑体" w:hint="eastAsia"/>
                <w:kern w:val="0"/>
                <w:sz w:val="20"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备注（证明材料等其他要求）</w:t>
            </w:r>
          </w:p>
        </w:tc>
      </w:tr>
      <w:tr w:rsidR="00F2794E">
        <w:trPr>
          <w:trHeight w:val="500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技术要求</w:t>
            </w: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基本要求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用于复杂混合物中易挥发物质的定性定量分析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标准规范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具备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CE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认证。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</w:p>
        </w:tc>
      </w:tr>
      <w:tr w:rsidR="00F2794E">
        <w:trPr>
          <w:trHeight w:val="51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主机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压力调节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0.001psi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（可换算其他单位）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保留时间重现性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0.0008min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峰面积重现性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0.51%RSD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可安装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个，且同时使用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3.5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操作界面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7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英寸彩色触摸屏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柱温箱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操作温度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450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温度设定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℃，程序升温间隔≤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0.1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4.3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冷却速度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450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℃到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50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℃，≤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240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秒；带插件≤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210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秒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499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毛细管柱分流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/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不分流进样口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最大载气流量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1250ml/min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压力设定精度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0.001psi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5.3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进样口维护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扳转式进样口维护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氢火焰离子化检测器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最低检测限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1.2pg C/sec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lastRenderedPageBreak/>
              <w:t>6.2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线性范围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10^7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6.3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最高数据采集速率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1000Hz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自动进样器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进样针位置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2mm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30mm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可调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样品容量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165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位（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样品制备平台功能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可升级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个进样塔并具有样品制备平台功能（包括单标、混标制备及梯度稀释，加热震荡）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固定栓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jc w:val="center"/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≤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秒，完成自动进样器安装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7.5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进样量范围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jc w:val="center"/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0.1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50</w:t>
            </w:r>
            <w:r>
              <w:rPr>
                <w:szCs w:val="24"/>
              </w:rPr>
              <w:t>μ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标准的填充柱进样口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标准的填充柱进样口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非毛细住进样口连接适配器变成填充柱进样口，可以接填充柱和气体阀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8.2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适配度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可适用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1/4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和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1/5inch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填充柱和大口径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0.53mm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毛细柱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顶空自动进样器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样品盘容量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jc w:val="center"/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≥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120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个顶空位，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12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个加热位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样品瓶规格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10ml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、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20ml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和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22ml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尺寸的顶空样品瓶（无需适配器）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典型峰面积重现性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0.71%RSD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，典型残留＜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0.0001%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9.4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进样口方式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进样口可实现液体和顶空两种进样方式，无需硬件拆卸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微池电子捕获检测器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最低检测限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＜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3.8fg/ml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林丹（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Lindane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，γ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-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六六六）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10.2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线性动态范围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林丹＞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5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×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10^4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10.3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微池设计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▲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安装隐含阳极，大体积流速，减少污染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操作软件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</w:rPr>
              <w:t>具有追踪、分级管理功能，符合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GMP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、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GPCL</w:t>
            </w:r>
            <w:r>
              <w:rPr>
                <w:rFonts w:ascii="黑体" w:eastAsia="黑体" w:hAnsi="黑体" w:cs="宋体" w:hint="eastAsia"/>
                <w:kern w:val="0"/>
                <w:sz w:val="20"/>
              </w:rPr>
              <w:t>数据可靠性要求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配置要求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jc w:val="center"/>
              <w:rPr>
                <w:rFonts w:ascii="黑体" w:eastAsia="黑体" w:hAnsi="黑体" w:cs="宋体"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/>
                <w:iCs/>
                <w:kern w:val="0"/>
                <w:sz w:val="20"/>
              </w:rPr>
            </w:pP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12.1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软硬件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）气相色谱主机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台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）毛细管分流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不分流进样口，带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EPC 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）通讯接口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4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）分流衬管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lastRenderedPageBreak/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）不分流衬管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6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）氢火焰检测器（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FID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带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EPC 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7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）电子捕获检测器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 xml:space="preserve"> (ECD) 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带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EPC 1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8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）液体自动进样器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9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）顶空自动进样器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）数据采集处理系统（含硬件和软件）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 xml:space="preserve"> 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图形工作站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ascii="黑体" w:eastAsia="黑体" w:hAnsi="宋体" w:cs="黑体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/>
                <w:iCs/>
                <w:kern w:val="0"/>
                <w:sz w:val="20"/>
              </w:rPr>
              <w:t>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仪器软件为中英文操作界面可选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lastRenderedPageBreak/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0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lastRenderedPageBreak/>
              <w:t>12.2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附件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）安装工具包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）螺纹口样品瓶、瓶盖及垫各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）顶空瓶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10ml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和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20ml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各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4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）顶空瓶盖和瓶垫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）顶空瓶压瓶器和启瓶器各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6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）顶空软件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套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7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）低流失进样隔垫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8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）柱接头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9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）柱接头死堵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）石墨密封垫（用于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0.32mm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毛细柱）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）石墨密封垫（用于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0.25mm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毛细柱）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12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）石墨密封垫（用于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0.53mm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毛细柱）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10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/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包×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13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）石英棉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包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14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）毛细管切刀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个</w:t>
            </w:r>
          </w:p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（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15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）气相分析色谱柱各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1</w:t>
            </w: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67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验收标准方法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67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经济要求</w:t>
            </w:r>
          </w:p>
        </w:tc>
      </w:tr>
      <w:tr w:rsidR="00F2794E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合同签订后</w:t>
            </w:r>
            <w:r>
              <w:rPr>
                <w:color w:val="auto"/>
                <w:sz w:val="20"/>
              </w:rPr>
              <w:t>3</w:t>
            </w:r>
            <w:r>
              <w:rPr>
                <w:color w:val="auto"/>
                <w:sz w:val="20"/>
              </w:rPr>
              <w:t>个月内交付，交付地点为北京市。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113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签订合同付（预付）</w:t>
            </w:r>
            <w:r>
              <w:rPr>
                <w:color w:val="auto"/>
                <w:sz w:val="20"/>
              </w:rPr>
              <w:t>0%</w:t>
            </w:r>
            <w:r>
              <w:rPr>
                <w:color w:val="auto"/>
                <w:sz w:val="20"/>
              </w:rPr>
              <w:t>，物资到货（服务完成）验收后付</w:t>
            </w:r>
            <w:r>
              <w:rPr>
                <w:color w:val="auto"/>
                <w:sz w:val="20"/>
              </w:rPr>
              <w:t>95%</w:t>
            </w:r>
            <w:r>
              <w:rPr>
                <w:color w:val="auto"/>
                <w:sz w:val="20"/>
              </w:rPr>
              <w:t>，剩余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（不超过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）作为尾款，验收合格后满一年无质量问题再支付尾款。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45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pStyle w:val="Default"/>
              <w:rPr>
                <w:rFonts w:hAnsi="宋体" w:cs="黑体" w:hint="default"/>
                <w:i/>
                <w:iCs/>
                <w:color w:val="auto"/>
                <w:sz w:val="20"/>
              </w:rPr>
            </w:pPr>
            <w:r>
              <w:rPr>
                <w:color w:val="auto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113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1</w:t>
            </w:r>
          </w:p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保修年限不低于</w:t>
            </w:r>
            <w:r>
              <w:rPr>
                <w:color w:val="auto"/>
                <w:sz w:val="20"/>
              </w:rPr>
              <w:t>3</w:t>
            </w:r>
            <w:r>
              <w:rPr>
                <w:color w:val="auto"/>
                <w:sz w:val="20"/>
              </w:rPr>
              <w:t>年，全年故障停机时间不高于</w:t>
            </w:r>
            <w:r>
              <w:rPr>
                <w:color w:val="auto"/>
                <w:sz w:val="20"/>
              </w:rPr>
              <w:t>5%</w:t>
            </w:r>
            <w:r>
              <w:rPr>
                <w:color w:val="auto"/>
                <w:sz w:val="20"/>
              </w:rPr>
              <w:t>（按</w:t>
            </w:r>
            <w:r>
              <w:rPr>
                <w:color w:val="auto"/>
                <w:sz w:val="20"/>
              </w:rPr>
              <w:t>365</w:t>
            </w:r>
            <w:r>
              <w:rPr>
                <w:color w:val="auto"/>
                <w:sz w:val="20"/>
              </w:rPr>
              <w:t>日</w:t>
            </w:r>
            <w:r>
              <w:rPr>
                <w:color w:val="auto"/>
                <w:sz w:val="20"/>
              </w:rPr>
              <w:t>/</w:t>
            </w:r>
            <w:r>
              <w:rPr>
                <w:color w:val="auto"/>
                <w:sz w:val="20"/>
              </w:rPr>
              <w:t>年计算</w:t>
            </w:r>
            <w:r>
              <w:rPr>
                <w:color w:val="auto"/>
                <w:sz w:val="20"/>
              </w:rPr>
              <w:t>)</w:t>
            </w:r>
            <w:r>
              <w:rPr>
                <w:color w:val="auto"/>
                <w:sz w:val="20"/>
              </w:rPr>
              <w:t>，如原厂保修年限达到</w:t>
            </w:r>
            <w:r>
              <w:rPr>
                <w:color w:val="auto"/>
                <w:sz w:val="20"/>
              </w:rPr>
              <w:t>6</w:t>
            </w:r>
            <w:r>
              <w:rPr>
                <w:color w:val="auto"/>
                <w:sz w:val="20"/>
              </w:rPr>
              <w:t>年更优。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F9538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 w:rsidRPr="00F9538E">
              <w:rPr>
                <w:rFonts w:ascii="黑体" w:eastAsia="黑体" w:hAnsi="宋体" w:cs="黑体" w:hint="eastAsia"/>
                <w:iCs/>
                <w:kern w:val="0"/>
                <w:sz w:val="20"/>
              </w:rPr>
              <w:t>原厂授权或企业承诺原厂保修</w:t>
            </w:r>
          </w:p>
        </w:tc>
      </w:tr>
      <w:tr w:rsidR="00F2794E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2</w:t>
            </w:r>
          </w:p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pStyle w:val="Default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  <w:rPr>
                <w:rFonts w:ascii="黑体" w:eastAsia="黑体" w:hAnsi="黑体" w:cs="宋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售后服务</w:t>
            </w:r>
            <w:r>
              <w:rPr>
                <w:rFonts w:ascii="黑体" w:eastAsia="黑体" w:hAnsi="黑体" w:hint="eastAsia"/>
                <w:sz w:val="20"/>
              </w:rPr>
              <w:t>4</w:t>
            </w:r>
            <w:r>
              <w:rPr>
                <w:rFonts w:ascii="黑体" w:eastAsia="黑体" w:hAnsi="黑体" w:hint="eastAsia"/>
                <w:sz w:val="20"/>
              </w:rPr>
              <w:br/>
            </w:r>
            <w:r>
              <w:rPr>
                <w:rFonts w:ascii="黑体" w:eastAsia="黑体" w:hAnsi="黑体" w:hint="eastAsia"/>
                <w:sz w:val="20"/>
              </w:rPr>
              <w:t>（维修工时费）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  <w:rPr>
                <w:rFonts w:ascii="黑体" w:eastAsia="黑体" w:hAnsi="黑体" w:cs="宋体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/>
                <w:kern w:val="0"/>
                <w:sz w:val="20"/>
                <w:szCs w:val="22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保修期外，由供应商按维修点位进行维修工时费报价。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  <w:rPr>
                <w:rFonts w:ascii="黑体" w:eastAsia="黑体" w:hAnsi="黑体" w:cs="宋体"/>
                <w:iCs/>
                <w:sz w:val="20"/>
              </w:rPr>
            </w:pPr>
            <w:r>
              <w:rPr>
                <w:rFonts w:ascii="黑体" w:eastAsia="黑体" w:hAnsi="黑体" w:hint="eastAsia"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jc w:val="center"/>
              <w:rPr>
                <w:rFonts w:ascii="黑体" w:eastAsia="黑体" w:hAnsi="黑体" w:cs="宋体"/>
                <w:iCs/>
                <w:sz w:val="20"/>
              </w:rPr>
            </w:pPr>
            <w:r>
              <w:rPr>
                <w:rFonts w:ascii="黑体" w:eastAsia="黑体" w:hAnsi="黑体" w:hint="eastAsia"/>
                <w:iCs/>
                <w:sz w:val="20"/>
              </w:rPr>
              <w:t>企业承诺</w:t>
            </w:r>
          </w:p>
        </w:tc>
      </w:tr>
      <w:tr w:rsidR="00F2794E">
        <w:trPr>
          <w:trHeight w:val="49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t>7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售后服务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br/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/>
                <w:iCs/>
                <w:sz w:val="20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维修响应时间≤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8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小时，维修到达现场时间≤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48</w:t>
            </w: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小时。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sz w:val="20"/>
              </w:rPr>
            </w:pPr>
            <w:r>
              <w:rPr>
                <w:rFonts w:ascii="黑体" w:eastAsia="黑体" w:hAnsi="黑体" w:cs="黑体" w:hint="eastAsia"/>
                <w:sz w:val="20"/>
              </w:rPr>
              <w:lastRenderedPageBreak/>
              <w:t>8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列举常用备品备件名称，由供应商逐项报价并承诺项目使用寿命周期内保证零配件供应。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7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6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/>
                <w:kern w:val="0"/>
                <w:sz w:val="20"/>
                <w:szCs w:val="22"/>
              </w:rPr>
            </w:pPr>
            <w:r>
              <w:rPr>
                <w:rFonts w:ascii="黑体" w:eastAsia="黑体" w:hAnsi="黑体" w:hint="eastAsia"/>
                <w:kern w:val="0"/>
                <w:sz w:val="20"/>
                <w:szCs w:val="22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iCs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iCs/>
                <w:kern w:val="0"/>
                <w:sz w:val="20"/>
              </w:rPr>
              <w:t>企业承诺</w:t>
            </w:r>
          </w:p>
        </w:tc>
      </w:tr>
      <w:tr w:rsidR="00F2794E">
        <w:trPr>
          <w:trHeight w:val="5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4E" w:rsidRDefault="00F2794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bookmarkStart w:id="0" w:name="_GoBack"/>
            <w:bookmarkEnd w:id="0"/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kern w:val="0"/>
                <w:sz w:val="20"/>
              </w:rPr>
            </w:pPr>
            <w:r>
              <w:rPr>
                <w:rFonts w:ascii="黑体" w:eastAsia="黑体" w:hAnsi="宋体" w:cs="黑体" w:hint="eastAsia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94E" w:rsidRDefault="0000206E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▲标识的指标负偏离≥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5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项，投标企业技术分值为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分</w:t>
            </w:r>
          </w:p>
          <w:p w:rsidR="00F2794E" w:rsidRDefault="0000206E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kern w:val="0"/>
                <w:sz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</w:rPr>
              <w:t>▲标识的指标和“无标识”指标负偏离≥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10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项，投标企业技术分值为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0</w:t>
            </w:r>
            <w:r>
              <w:rPr>
                <w:rFonts w:ascii="黑体" w:eastAsia="黑体" w:hAnsi="黑体" w:cs="黑体" w:hint="eastAsia"/>
                <w:kern w:val="0"/>
                <w:sz w:val="20"/>
              </w:rPr>
              <w:t>分</w:t>
            </w:r>
          </w:p>
        </w:tc>
      </w:tr>
      <w:tr w:rsidR="00F2794E">
        <w:trPr>
          <w:trHeight w:val="625"/>
        </w:trPr>
        <w:tc>
          <w:tcPr>
            <w:tcW w:w="90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94E" w:rsidRDefault="0000206E" w:rsidP="00F9538E">
            <w:pPr>
              <w:widowControl/>
              <w:spacing w:afterLines="20" w:line="300" w:lineRule="exact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注：★指标为必须响应指标，任意一项不满足要求即做废标处理；经济要求不接受企业负偏离</w:t>
            </w:r>
          </w:p>
        </w:tc>
      </w:tr>
    </w:tbl>
    <w:p w:rsidR="00F2794E" w:rsidRDefault="00F2794E">
      <w:pPr>
        <w:pStyle w:val="Default"/>
        <w:rPr>
          <w:rFonts w:ascii="方正小标宋简体" w:eastAsia="方正小标宋简体" w:hAnsi="方正小标宋简体" w:cs="方正小标宋简体" w:hint="default"/>
          <w:color w:val="auto"/>
          <w:sz w:val="2"/>
          <w:szCs w:val="2"/>
        </w:rPr>
      </w:pPr>
    </w:p>
    <w:p w:rsidR="00F2794E" w:rsidRDefault="00F2794E">
      <w:pPr>
        <w:pStyle w:val="a3"/>
        <w:spacing w:line="572" w:lineRule="exact"/>
        <w:ind w:firstLine="640"/>
        <w:rPr>
          <w:rFonts w:ascii="黑体" w:eastAsia="黑体" w:hAnsi="黑体" w:cs="黑体"/>
          <w:kern w:val="0"/>
          <w:sz w:val="32"/>
          <w:szCs w:val="32"/>
        </w:rPr>
      </w:pPr>
    </w:p>
    <w:p w:rsidR="00F2794E" w:rsidRDefault="00F2794E">
      <w:pPr>
        <w:pStyle w:val="a3"/>
        <w:spacing w:line="572" w:lineRule="exact"/>
        <w:ind w:firstLine="640"/>
        <w:rPr>
          <w:rFonts w:ascii="黑体" w:eastAsia="黑体" w:hAnsi="黑体" w:cs="黑体"/>
          <w:kern w:val="0"/>
          <w:sz w:val="32"/>
          <w:szCs w:val="32"/>
        </w:rPr>
      </w:pPr>
    </w:p>
    <w:p w:rsidR="00F2794E" w:rsidRDefault="00F2794E"/>
    <w:sectPr w:rsidR="00F2794E" w:rsidSect="00F279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06E" w:rsidRDefault="0000206E" w:rsidP="00F9538E">
      <w:r>
        <w:separator/>
      </w:r>
    </w:p>
  </w:endnote>
  <w:endnote w:type="continuationSeparator" w:id="1">
    <w:p w:rsidR="0000206E" w:rsidRDefault="0000206E" w:rsidP="00F95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06E" w:rsidRDefault="0000206E" w:rsidP="00F9538E">
      <w:r>
        <w:separator/>
      </w:r>
    </w:p>
  </w:footnote>
  <w:footnote w:type="continuationSeparator" w:id="1">
    <w:p w:rsidR="0000206E" w:rsidRDefault="0000206E" w:rsidP="00F95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D1D"/>
    <w:rsid w:val="0000206E"/>
    <w:rsid w:val="0000388D"/>
    <w:rsid w:val="00030730"/>
    <w:rsid w:val="00042C89"/>
    <w:rsid w:val="00071F9A"/>
    <w:rsid w:val="000A67B0"/>
    <w:rsid w:val="000B1719"/>
    <w:rsid w:val="000E5AB9"/>
    <w:rsid w:val="000F2A5B"/>
    <w:rsid w:val="001C5674"/>
    <w:rsid w:val="002356EA"/>
    <w:rsid w:val="00257ACC"/>
    <w:rsid w:val="00277889"/>
    <w:rsid w:val="00280BE0"/>
    <w:rsid w:val="00292FDD"/>
    <w:rsid w:val="002C6844"/>
    <w:rsid w:val="002F6F61"/>
    <w:rsid w:val="003337C0"/>
    <w:rsid w:val="00342AA9"/>
    <w:rsid w:val="00382A52"/>
    <w:rsid w:val="00386905"/>
    <w:rsid w:val="003953F9"/>
    <w:rsid w:val="003B753B"/>
    <w:rsid w:val="003C5893"/>
    <w:rsid w:val="00441F02"/>
    <w:rsid w:val="005E5649"/>
    <w:rsid w:val="00626008"/>
    <w:rsid w:val="006366C5"/>
    <w:rsid w:val="006A67BB"/>
    <w:rsid w:val="00705F57"/>
    <w:rsid w:val="00734293"/>
    <w:rsid w:val="00735B63"/>
    <w:rsid w:val="007648D1"/>
    <w:rsid w:val="00794CE2"/>
    <w:rsid w:val="007B0CB8"/>
    <w:rsid w:val="007B69C1"/>
    <w:rsid w:val="007E2035"/>
    <w:rsid w:val="007E668D"/>
    <w:rsid w:val="00852892"/>
    <w:rsid w:val="00855D57"/>
    <w:rsid w:val="00887BA5"/>
    <w:rsid w:val="00914C5A"/>
    <w:rsid w:val="009607A4"/>
    <w:rsid w:val="00987FF5"/>
    <w:rsid w:val="00993FC3"/>
    <w:rsid w:val="009B6722"/>
    <w:rsid w:val="00A04925"/>
    <w:rsid w:val="00A3181F"/>
    <w:rsid w:val="00AA1AB1"/>
    <w:rsid w:val="00AB1DB5"/>
    <w:rsid w:val="00B314C6"/>
    <w:rsid w:val="00B44C21"/>
    <w:rsid w:val="00B76071"/>
    <w:rsid w:val="00B96135"/>
    <w:rsid w:val="00BD75A3"/>
    <w:rsid w:val="00C0170E"/>
    <w:rsid w:val="00C15D1D"/>
    <w:rsid w:val="00C64685"/>
    <w:rsid w:val="00C6578B"/>
    <w:rsid w:val="00CA3174"/>
    <w:rsid w:val="00CF4229"/>
    <w:rsid w:val="00D23B71"/>
    <w:rsid w:val="00D25AEE"/>
    <w:rsid w:val="00D960DC"/>
    <w:rsid w:val="00DD5498"/>
    <w:rsid w:val="00E33106"/>
    <w:rsid w:val="00E56380"/>
    <w:rsid w:val="00E81DE3"/>
    <w:rsid w:val="00E96165"/>
    <w:rsid w:val="00E96678"/>
    <w:rsid w:val="00EA56C6"/>
    <w:rsid w:val="00EF50D9"/>
    <w:rsid w:val="00F114B5"/>
    <w:rsid w:val="00F2794E"/>
    <w:rsid w:val="00F34A1F"/>
    <w:rsid w:val="00F34BFD"/>
    <w:rsid w:val="00F3713B"/>
    <w:rsid w:val="00F45D09"/>
    <w:rsid w:val="00F81F65"/>
    <w:rsid w:val="00F90E94"/>
    <w:rsid w:val="00F9538E"/>
    <w:rsid w:val="00FA1E3E"/>
    <w:rsid w:val="00FB2E88"/>
    <w:rsid w:val="00FB668F"/>
    <w:rsid w:val="686F6AD4"/>
    <w:rsid w:val="728713C1"/>
    <w:rsid w:val="72EA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F2794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F2794E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Body Text Indent"/>
    <w:basedOn w:val="a"/>
    <w:qFormat/>
    <w:rsid w:val="00F2794E"/>
    <w:pPr>
      <w:spacing w:line="400" w:lineRule="exact"/>
      <w:ind w:firstLineChars="200" w:firstLine="600"/>
    </w:pPr>
    <w:rPr>
      <w:rFonts w:ascii="仿宋_GB2312" w:eastAsia="仿宋_GB2312"/>
      <w:sz w:val="30"/>
    </w:rPr>
  </w:style>
  <w:style w:type="paragraph" w:styleId="a4">
    <w:name w:val="footer"/>
    <w:basedOn w:val="a"/>
    <w:uiPriority w:val="99"/>
    <w:rsid w:val="00F27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F27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1">
    <w:name w:val="font111"/>
    <w:basedOn w:val="a0"/>
    <w:qFormat/>
    <w:rsid w:val="00F2794E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Char">
    <w:name w:val="页眉 Char"/>
    <w:basedOn w:val="a0"/>
    <w:link w:val="a5"/>
    <w:qFormat/>
    <w:rsid w:val="00F279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A9852C-9B94-4507-94BA-E3FEACEEA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391</Words>
  <Characters>2233</Characters>
  <Application>Microsoft Office Word</Application>
  <DocSecurity>0</DocSecurity>
  <Lines>18</Lines>
  <Paragraphs>5</Paragraphs>
  <ScaleCrop>false</ScaleCrop>
  <Company>Lenovo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Users</cp:lastModifiedBy>
  <cp:revision>21</cp:revision>
  <dcterms:created xsi:type="dcterms:W3CDTF">2024-04-19T06:39:00Z</dcterms:created>
  <dcterms:modified xsi:type="dcterms:W3CDTF">2024-06-05T03:58:00Z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