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采购单位：（业务部门盖章）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黑体"/>
                <w:sz w:val="20"/>
                <w:szCs w:val="20"/>
              </w:rPr>
              <w:t>可升降双扩铅防护方舱厢式模组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可升降双扩铅防护方舱厢式模组具有双侧一键自动展收功能，舱体可升降，具备自动调平功能，方舱四周具有铅防护，具备舱内环境温度调节功能。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符合军用标准、国家标准、行业标准、地方标准或者其他标准规范的有关规定。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方舱外形尺寸（长×宽×高）：收拢状态≤4500mm×2500mm×2600mm，展开状态≤4500mm×4400mm×2600mm，不计入空调、支腿、拉臂架等外部装置尺寸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展开/撤收时间：≤6min（1人操作）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trike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射线防护能力：透射比B≤0.0015（125kVp CT X射线次级辐射透射）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trike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调温性能：</w:t>
            </w:r>
            <w:r>
              <w:rPr>
                <w:rFonts w:hint="eastAsia" w:ascii="宋体" w:hAnsi="宋体" w:eastAsia="宋体" w:cs="黑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在环境温度为-41℃～46℃时，舱内温度调温性满足12℃～28℃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供电能力：具备220V/380V电源配电电路和接口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方舱调平能力：调平系统调平精度≤30′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技术指标</w:t>
            </w: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strike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黑体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储物能力：储物柜总容积≥800L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strike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舱内平均照度：≥80lx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适配性：可适配中型高机动底盘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1</w:t>
            </w:r>
            <w:r>
              <w:rPr>
                <w:rFonts w:ascii="黑体" w:hAnsi="黑体" w:eastAsia="黑体" w:cs="黑体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可升降双扩铅防护方舱厢式模组</w:t>
            </w:r>
            <w:r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  <w:t>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综合实力1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企业合法存续，经营情况良好，通过国军标或I</w:t>
            </w:r>
            <w:r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  <w:t>SO9001</w:t>
            </w: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质量管理体系认证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资质证书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综合实力2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具备与产品科研生产相适应的人员、设施设备等，承担过军方科研或生产任务，或为军方项目提供过配套产品和服务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eastAsia="宋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kern w:val="0"/>
                <w:sz w:val="20"/>
                <w:szCs w:val="20"/>
                <w:lang w:bidi="ar"/>
              </w:rPr>
              <w:t>按照产品通用质量标准进行质量验收，出具验收报告。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合同签订后</w:t>
            </w:r>
            <w:r>
              <w:rPr>
                <w:rFonts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物资到货（服务完成）验收合格后付100%。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履约保证金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i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i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iCs/>
                <w:sz w:val="20"/>
                <w:szCs w:val="20"/>
              </w:rPr>
            </w:pP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保修年限不低于</w:t>
            </w:r>
            <w:r>
              <w:rPr>
                <w:rFonts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年，保修期内免费提供定期维护保养服务，免费升级和维护软件，免费提供使用培训。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售后服务2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维修响应时间≤2小时，维修到达现场时间≤4</w:t>
            </w:r>
            <w:r>
              <w:rPr>
                <w:rFonts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☑公开招标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☑综合评分法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▲标识的指标负偏离≥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▲标识的指标和“无标识”指标负偏离≥6项，投标企业技术分值为0分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供应商资格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黑体"/>
                <w:iCs/>
                <w:sz w:val="20"/>
                <w:szCs w:val="20"/>
              </w:rPr>
            </w:pPr>
            <w:r>
              <w:rPr>
                <w:rFonts w:hint="eastAsia" w:ascii="宋体" w:hAnsi="宋体" w:eastAsia="宋体" w:cs="黑体"/>
                <w:iCs/>
                <w:kern w:val="0"/>
                <w:sz w:val="20"/>
                <w:szCs w:val="20"/>
                <w:lang w:bidi="ar"/>
              </w:rPr>
              <w:t>具备有效期内的装备承制单位资格证书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87"/>
    <w:rsid w:val="000321F5"/>
    <w:rsid w:val="00041D1C"/>
    <w:rsid w:val="00071B42"/>
    <w:rsid w:val="00095C8B"/>
    <w:rsid w:val="000A5398"/>
    <w:rsid w:val="000A6617"/>
    <w:rsid w:val="000C6C96"/>
    <w:rsid w:val="000E7633"/>
    <w:rsid w:val="0011563B"/>
    <w:rsid w:val="001276F0"/>
    <w:rsid w:val="00157E99"/>
    <w:rsid w:val="00204165"/>
    <w:rsid w:val="00226841"/>
    <w:rsid w:val="00257BA8"/>
    <w:rsid w:val="00283752"/>
    <w:rsid w:val="002B0071"/>
    <w:rsid w:val="002B4797"/>
    <w:rsid w:val="002F5D86"/>
    <w:rsid w:val="00325760"/>
    <w:rsid w:val="00361EFC"/>
    <w:rsid w:val="00370A41"/>
    <w:rsid w:val="00377B15"/>
    <w:rsid w:val="00425132"/>
    <w:rsid w:val="0048350A"/>
    <w:rsid w:val="004903C9"/>
    <w:rsid w:val="00512CAA"/>
    <w:rsid w:val="00532CE7"/>
    <w:rsid w:val="00544AA3"/>
    <w:rsid w:val="005B5F1D"/>
    <w:rsid w:val="005D1B15"/>
    <w:rsid w:val="0060796E"/>
    <w:rsid w:val="00615F67"/>
    <w:rsid w:val="007726A9"/>
    <w:rsid w:val="007949BB"/>
    <w:rsid w:val="007B5144"/>
    <w:rsid w:val="007E0606"/>
    <w:rsid w:val="00811821"/>
    <w:rsid w:val="00823EBB"/>
    <w:rsid w:val="0083347F"/>
    <w:rsid w:val="008455F6"/>
    <w:rsid w:val="00875F87"/>
    <w:rsid w:val="008B7013"/>
    <w:rsid w:val="008E78F4"/>
    <w:rsid w:val="009717A4"/>
    <w:rsid w:val="00974D4F"/>
    <w:rsid w:val="00980AF2"/>
    <w:rsid w:val="00993513"/>
    <w:rsid w:val="009A0689"/>
    <w:rsid w:val="009F5FAC"/>
    <w:rsid w:val="00A01B08"/>
    <w:rsid w:val="00A14DA8"/>
    <w:rsid w:val="00A2132B"/>
    <w:rsid w:val="00A217B9"/>
    <w:rsid w:val="00A4792E"/>
    <w:rsid w:val="00A70AB2"/>
    <w:rsid w:val="00AD0FD9"/>
    <w:rsid w:val="00B2067A"/>
    <w:rsid w:val="00B52373"/>
    <w:rsid w:val="00BF5546"/>
    <w:rsid w:val="00C117DD"/>
    <w:rsid w:val="00C81A20"/>
    <w:rsid w:val="00CA52F7"/>
    <w:rsid w:val="00CC25EA"/>
    <w:rsid w:val="00CE2E17"/>
    <w:rsid w:val="00CF52E4"/>
    <w:rsid w:val="00D22659"/>
    <w:rsid w:val="00D27F84"/>
    <w:rsid w:val="00D378FB"/>
    <w:rsid w:val="00DB21C2"/>
    <w:rsid w:val="00DD21D1"/>
    <w:rsid w:val="00E60CE9"/>
    <w:rsid w:val="00EB1399"/>
    <w:rsid w:val="00EC2187"/>
    <w:rsid w:val="00ED1F91"/>
    <w:rsid w:val="00EF4CD8"/>
    <w:rsid w:val="00FF41D1"/>
    <w:rsid w:val="35345CD8"/>
    <w:rsid w:val="67AB7DA1"/>
    <w:rsid w:val="7AC90336"/>
    <w:rsid w:val="7F80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paragraph" w:styleId="12">
    <w:name w:val="List Paragraph"/>
    <w:basedOn w:val="1"/>
    <w:link w:val="13"/>
    <w:qFormat/>
    <w:uiPriority w:val="34"/>
    <w:pPr>
      <w:ind w:firstLine="420" w:firstLineChars="200"/>
    </w:pPr>
  </w:style>
  <w:style w:type="character" w:customStyle="1" w:styleId="13">
    <w:name w:val="列表段落 字符"/>
    <w:link w:val="12"/>
    <w:qFormat/>
    <w:uiPriority w:val="34"/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">
    <w:name w:val="批注文字 字符"/>
    <w:basedOn w:val="8"/>
    <w:link w:val="2"/>
    <w:qFormat/>
    <w:uiPriority w:val="99"/>
  </w:style>
  <w:style w:type="character" w:customStyle="1" w:styleId="17">
    <w:name w:val="批注主题 字符"/>
    <w:basedOn w:val="16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1496</Characters>
  <Lines>12</Lines>
  <Paragraphs>3</Paragraphs>
  <TotalTime>91</TotalTime>
  <ScaleCrop>false</ScaleCrop>
  <LinksUpToDate>false</LinksUpToDate>
  <CharactersWithSpaces>1755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2024-05-06T12:47:00Z</dcterms:created>
  <dc:creator>n Tia</dc:creator>
  <cp:lastModifiedBy>mahe</cp:lastModifiedBy>
  <cp:lastPrinted>2024-05-14T10:37:00Z</cp:lastPrinted>
  <dcterms:modified xsi:type="dcterms:W3CDTF">2024-06-27T23:59:58Z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