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采购需求表（物资类）</w:t>
      </w:r>
    </w:p>
    <w:tbl>
      <w:tblPr>
        <w:tblStyle w:val="8"/>
        <w:tblpPr w:leftFromText="180" w:rightFromText="180" w:vertAnchor="text" w:horzAnchor="page" w:tblpX="1562" w:tblpY="807"/>
        <w:tblOverlap w:val="never"/>
        <w:tblW w:w="9060" w:type="dxa"/>
        <w:tblInd w:w="0" w:type="dxa"/>
        <w:tblLayout w:type="fixed"/>
        <w:tblCellMar>
          <w:top w:w="0" w:type="dxa"/>
          <w:left w:w="108" w:type="dxa"/>
          <w:bottom w:w="0" w:type="dxa"/>
          <w:right w:w="108" w:type="dxa"/>
        </w:tblCellMar>
      </w:tblPr>
      <w:tblGrid>
        <w:gridCol w:w="817"/>
        <w:gridCol w:w="353"/>
        <w:gridCol w:w="781"/>
        <w:gridCol w:w="659"/>
        <w:gridCol w:w="75"/>
        <w:gridCol w:w="3210"/>
        <w:gridCol w:w="1208"/>
        <w:gridCol w:w="727"/>
        <w:gridCol w:w="123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项目名称</w:t>
            </w:r>
          </w:p>
        </w:tc>
        <w:tc>
          <w:tcPr>
            <w:tcW w:w="4725"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kern w:val="0"/>
                <w:sz w:val="20"/>
                <w:lang w:bidi="ar"/>
              </w:rPr>
              <w:t>声损伤耳声发射诊断筛查设备计量校准系统</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50</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序号</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需求名称</w:t>
            </w:r>
          </w:p>
        </w:tc>
        <w:tc>
          <w:tcPr>
            <w:tcW w:w="7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性质</w:t>
            </w:r>
          </w:p>
        </w:tc>
        <w:tc>
          <w:tcPr>
            <w:tcW w:w="441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是否</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备注（证明材料等其他要求）</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技术要求</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基本要求</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用于耳声发射测量仪的计量校准。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sz w:val="20"/>
              </w:rPr>
              <w:t>彩页</w:t>
            </w:r>
          </w:p>
        </w:tc>
      </w:tr>
      <w:tr>
        <w:tblPrEx>
          <w:tblCellMar>
            <w:top w:w="0" w:type="dxa"/>
            <w:left w:w="108" w:type="dxa"/>
            <w:bottom w:w="0" w:type="dxa"/>
            <w:right w:w="108" w:type="dxa"/>
          </w:tblCellMar>
        </w:tblPrEx>
        <w:trPr>
          <w:trHeight w:val="92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2</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color w:val="FF0000"/>
                <w:kern w:val="0"/>
                <w:sz w:val="20"/>
                <w:lang w:bidi="ar"/>
              </w:rPr>
              <w:t xml:space="preserve"> </w:t>
            </w:r>
            <w:r>
              <w:rPr>
                <w:rFonts w:hint="eastAsia" w:ascii="黑体" w:hAnsi="黑体" w:eastAsia="黑体" w:cs="黑体"/>
                <w:kern w:val="0"/>
                <w:sz w:val="20"/>
                <w:lang w:bidi="ar"/>
              </w:rPr>
              <w:t>标准规范</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满足JJF1289-2020《测听设备 耳声发射测量仪校准规范》</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sz w:val="20"/>
              </w:rPr>
              <w:t>彩页</w:t>
            </w:r>
          </w:p>
        </w:tc>
      </w:tr>
      <w:tr>
        <w:tblPrEx>
          <w:tblCellMar>
            <w:top w:w="0" w:type="dxa"/>
            <w:left w:w="108" w:type="dxa"/>
            <w:bottom w:w="0" w:type="dxa"/>
            <w:right w:w="108" w:type="dxa"/>
          </w:tblCellMar>
        </w:tblPrEx>
        <w:trPr>
          <w:trHeight w:val="92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技术指标1</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3</w:t>
            </w:r>
            <w:r>
              <w:rPr>
                <w:rFonts w:ascii="黑体" w:hAnsi="黑体" w:eastAsia="黑体" w:cs="黑体"/>
                <w:kern w:val="0"/>
                <w:sz w:val="20"/>
                <w:lang w:bidi="ar"/>
              </w:rPr>
              <w:t>.1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Ansi="宋体" w:cs="黑体"/>
                <w:i/>
                <w:iCs/>
                <w:sz w:val="20"/>
                <w:lang w:bidi="ar"/>
              </w:rPr>
              <w:t>短时程刺激音峰-峰等效声压级测量</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pStyle w:val="2"/>
              <w:rPr>
                <w:rFonts w:hint="default" w:hAnsi="宋体" w:cs="黑体"/>
                <w:i/>
                <w:iCs/>
                <w:color w:val="auto"/>
                <w:sz w:val="20"/>
                <w:szCs w:val="20"/>
                <w:lang w:bidi="ar"/>
              </w:rPr>
            </w:pPr>
            <w:r>
              <w:rPr>
                <w:rFonts w:hAnsi="宋体" w:cs="黑体"/>
                <w:i/>
                <w:iCs/>
                <w:color w:val="auto"/>
                <w:sz w:val="20"/>
                <w:szCs w:val="20"/>
                <w:lang w:bidi="ar"/>
              </w:rPr>
              <w:t>幅值范围20dB ~ 120 dB；不确定度1.0 dB（k=2）；</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ascii="黑体" w:hAnsi="黑体" w:eastAsia="黑体" w:cs="黑体"/>
                <w:kern w:val="0"/>
                <w:sz w:val="20"/>
                <w:lang w:bidi="ar"/>
              </w:rPr>
              <w:t>3.2</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宋体" w:eastAsia="黑体" w:cs="黑体"/>
                <w:i/>
                <w:iCs/>
                <w:kern w:val="0"/>
                <w:sz w:val="20"/>
                <w:lang w:bidi="ar"/>
              </w:rPr>
              <w:t>纯音刺激音测量</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频率范围100Hz - 10kHz；不确定度1.0 dB（k=2）；</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kern w:val="0"/>
                <w:sz w:val="20"/>
                <w:lang w:bidi="ar"/>
              </w:rPr>
              <w:t>3.3</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宋体" w:eastAsia="黑体" w:cs="黑体"/>
                <w:i/>
                <w:iCs/>
                <w:kern w:val="0"/>
                <w:sz w:val="20"/>
                <w:lang w:bidi="ar"/>
              </w:rPr>
              <w:t>反馈声音测量</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lang w:bidi="ar"/>
              </w:rPr>
            </w:pPr>
            <w:r>
              <w:rPr>
                <w:rFonts w:hint="eastAsia" w:ascii="黑体" w:hAnsi="宋体" w:eastAsia="黑体" w:cs="黑体"/>
                <w:i/>
                <w:iCs/>
                <w:kern w:val="0"/>
                <w:sz w:val="20"/>
                <w:lang w:bidi="ar"/>
              </w:rPr>
              <w:t>频率范围500Hz-8000Hz；不确定度1.5dB（k=2）；</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ascii="黑体" w:hAnsi="黑体" w:eastAsia="黑体" w:cs="黑体"/>
                <w:kern w:val="0"/>
                <w:sz w:val="20"/>
                <w:lang w:bidi="ar"/>
              </w:rPr>
              <w:t>3.4</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宋体" w:eastAsia="黑体" w:cs="黑体"/>
                <w:i/>
                <w:iCs/>
                <w:kern w:val="0"/>
                <w:sz w:val="20"/>
                <w:lang w:bidi="ar"/>
              </w:rPr>
              <w:t>测量和显示</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宋体" w:hAnsi="宋体" w:cs="宋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纯音信号声压级、频率、失真参数的同时测量和显示；短时程信号的峰值等效声压级、频谱、时域瞬态波形同时测量和显示；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ascii="黑体" w:hAnsi="黑体" w:eastAsia="黑体" w:cs="黑体"/>
                <w:kern w:val="0"/>
                <w:sz w:val="20"/>
                <w:lang w:bidi="ar"/>
              </w:rPr>
              <w:t>3.5</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反应信号模拟器</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r>
              <w:rPr>
                <w:rFonts w:ascii="黑体" w:hAnsi="黑体" w:eastAsia="黑体" w:cs="黑体"/>
                <w:kern w:val="0"/>
                <w:sz w:val="20"/>
                <w:lang w:bidi="ar"/>
              </w:rPr>
              <w:t>.5.1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宋体" w:eastAsia="黑体" w:cs="黑体"/>
                <w:i/>
                <w:iCs/>
                <w:kern w:val="0"/>
                <w:sz w:val="20"/>
                <w:lang w:bidi="ar"/>
              </w:rPr>
              <w:t>频率范围</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r>
              <w:rPr>
                <w:rFonts w:hint="eastAsia" w:ascii="宋体" w:hAnsi="宋体" w:cs="宋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 xml:space="preserve"> 100Hz~ 10kHz；</w:t>
            </w:r>
            <w:r>
              <w:rPr>
                <w:rFonts w:ascii="黑体" w:hAnsi="宋体" w:eastAsia="黑体" w:cs="黑体"/>
                <w:i/>
                <w:iCs/>
                <w:kern w:val="0"/>
                <w:sz w:val="20"/>
                <w:lang w:bidi="ar"/>
              </w:rPr>
              <w:t xml:space="preserve">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r>
              <w:rPr>
                <w:rFonts w:ascii="黑体" w:hAnsi="黑体" w:eastAsia="黑体" w:cs="黑体"/>
                <w:kern w:val="0"/>
                <w:sz w:val="20"/>
                <w:lang w:bidi="ar"/>
              </w:rPr>
              <w:t>.5.2</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幅值输出动态范围</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r>
              <w:rPr>
                <w:rFonts w:hint="eastAsia" w:ascii="宋体" w:hAnsi="宋体" w:cs="宋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不小于60dB；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r>
              <w:rPr>
                <w:rFonts w:ascii="黑体" w:hAnsi="黑体" w:eastAsia="黑体" w:cs="黑体"/>
                <w:kern w:val="0"/>
                <w:sz w:val="20"/>
                <w:lang w:bidi="ar"/>
              </w:rPr>
              <w:t>.5.3</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频率响应</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r>
              <w:rPr>
                <w:rFonts w:hint="eastAsia" w:ascii="宋体" w:hAnsi="宋体" w:cs="宋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MPE：±0.5 dB；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r>
              <w:rPr>
                <w:rFonts w:ascii="黑体" w:hAnsi="黑体" w:eastAsia="黑体" w:cs="黑体"/>
                <w:kern w:val="0"/>
                <w:sz w:val="20"/>
                <w:lang w:bidi="ar"/>
              </w:rPr>
              <w:t>.5.4</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信号输出功能</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kern w:val="0"/>
                <w:sz w:val="20"/>
                <w:lang w:bidi="ar"/>
              </w:rPr>
            </w:pPr>
            <w:r>
              <w:rPr>
                <w:rFonts w:hint="eastAsia" w:ascii="宋体" w:hAnsi="宋体" w:cs="宋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可生成用于校准瞬态诱发和畸变产物耳声发射的反馈校准声模拟信号。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sz w:val="20"/>
              </w:rPr>
              <w:t>说明书</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kern w:val="0"/>
                <w:sz w:val="20"/>
                <w:lang w:bidi="ar"/>
              </w:rPr>
              <w:t>4</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配置要求1</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4</w:t>
            </w:r>
            <w:r>
              <w:rPr>
                <w:rFonts w:ascii="黑体" w:hAnsi="黑体" w:eastAsia="黑体" w:cs="黑体"/>
                <w:kern w:val="0"/>
                <w:sz w:val="20"/>
                <w:lang w:bidi="ar"/>
              </w:rPr>
              <w:t>.1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宋体" w:eastAsia="黑体" w:cs="黑体"/>
                <w:i/>
                <w:iCs/>
                <w:kern w:val="0"/>
                <w:sz w:val="20"/>
                <w:lang w:bidi="ar"/>
              </w:rPr>
              <w:t>软件</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包含：听力计检测模块、短刺激声测量模块、双纯音刺激声测量模块、耳声发射反馈测量模块。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50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4</w:t>
            </w:r>
            <w:r>
              <w:rPr>
                <w:rFonts w:ascii="黑体" w:hAnsi="黑体" w:eastAsia="黑体" w:cs="黑体"/>
                <w:kern w:val="0"/>
                <w:sz w:val="20"/>
                <w:lang w:bidi="ar"/>
              </w:rPr>
              <w:t>.2</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硬件</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包含：手持式声分析仪；适调放大器；耳声发射反应信号模拟器；程控精密衰减器；711耳模拟器及适配器；前置放大器；反馈校准声源；便携式耳声发射反应信号模拟器；隔音测试箱；控制主机。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63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ascii="黑体" w:hAnsi="宋体" w:eastAsia="黑体" w:cs="黑体"/>
                <w:kern w:val="0"/>
                <w:sz w:val="20"/>
                <w:lang w:bidi="ar"/>
              </w:rPr>
              <w:t>5</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验收标准方法</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具有省级及以上计量部门出具的计量溯源证书</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经济要求</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交货时间、交货地点</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合同签订后6个月内交付，交付地点由甲方指定。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lang w:bidi="ar"/>
              </w:rPr>
            </w:pPr>
            <w:r>
              <w:rPr>
                <w:rFonts w:hint="eastAsia" w:ascii="黑体" w:hAnsi="黑体" w:eastAsia="黑体" w:cs="黑体"/>
                <w:sz w:val="20"/>
                <w:lang w:bidi="ar"/>
              </w:rPr>
              <w:t>2</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付款及结算方式</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签订合同付（预付）</w:t>
            </w:r>
            <w:r>
              <w:rPr>
                <w:rFonts w:ascii="黑体" w:hAnsi="宋体" w:eastAsia="黑体" w:cs="黑体"/>
                <w:i/>
                <w:iCs/>
                <w:kern w:val="0"/>
                <w:sz w:val="20"/>
                <w:lang w:bidi="ar"/>
              </w:rPr>
              <w:t>30</w:t>
            </w:r>
            <w:r>
              <w:rPr>
                <w:rFonts w:hint="eastAsia" w:ascii="黑体" w:hAnsi="宋体" w:eastAsia="黑体" w:cs="黑体"/>
                <w:i/>
                <w:iCs/>
                <w:kern w:val="0"/>
                <w:sz w:val="20"/>
                <w:lang w:bidi="ar"/>
              </w:rPr>
              <w:t>%，物资到货（服务完成）验收后付</w:t>
            </w:r>
            <w:r>
              <w:rPr>
                <w:rFonts w:ascii="黑体" w:hAnsi="宋体" w:eastAsia="黑体" w:cs="黑体"/>
                <w:i/>
                <w:iCs/>
                <w:kern w:val="0"/>
                <w:sz w:val="20"/>
                <w:lang w:bidi="ar"/>
              </w:rPr>
              <w:t>65</w:t>
            </w:r>
            <w:r>
              <w:rPr>
                <w:rFonts w:hint="eastAsia" w:ascii="黑体" w:hAnsi="宋体" w:eastAsia="黑体" w:cs="黑体"/>
                <w:i/>
                <w:iCs/>
                <w:kern w:val="0"/>
                <w:sz w:val="20"/>
                <w:lang w:bidi="ar"/>
              </w:rPr>
              <w: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履约保证金/质量保证金</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产品包装和运输要求</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54"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售后服务1</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保修年限不低于3年，全年故障停机时间不高于5%（按365日/年计算)。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售后服务2</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7</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售后服务3</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提供不少于3人次、6天的工程师维修培训。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售后服务4</w:t>
            </w:r>
            <w:r>
              <w:rPr>
                <w:rFonts w:hint="eastAsia" w:ascii="黑体" w:hAnsi="黑体" w:eastAsia="黑体" w:cs="黑体"/>
                <w:kern w:val="0"/>
                <w:sz w:val="20"/>
                <w:lang w:bidi="ar"/>
              </w:rPr>
              <w:br w:type="textWrapping"/>
            </w:r>
            <w:r>
              <w:rPr>
                <w:rFonts w:hint="eastAsia" w:ascii="黑体" w:hAnsi="黑体" w:eastAsia="黑体" w:cs="黑体"/>
                <w:kern w:val="0"/>
                <w:sz w:val="20"/>
                <w:lang w:bidi="ar"/>
              </w:rPr>
              <w:t>（响应时间）</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lang w:bidi="ar"/>
              </w:rPr>
              <w:t>维修响应时间≤24小时，维修到达现场时间≤48小时。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720"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9</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备品备件要求（零配件）</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10</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专用工具</w:t>
            </w:r>
          </w:p>
        </w:tc>
        <w:tc>
          <w:tcPr>
            <w:tcW w:w="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lang w:bidi="ar"/>
              </w:rPr>
            </w:pPr>
            <w:r>
              <w:rPr>
                <w:rFonts w:hint="eastAsia" w:ascii="黑体" w:hAnsi="宋体" w:eastAsia="黑体" w:cs="黑体"/>
                <w:i/>
                <w:iCs/>
                <w:kern w:val="0"/>
                <w:sz w:val="20"/>
                <w:lang w:bidi="ar"/>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采购实施建议</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1</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采购方式</w:t>
            </w:r>
          </w:p>
        </w:tc>
        <w:tc>
          <w:tcPr>
            <w:tcW w:w="7109"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ascii="Segoe UI Symbol" w:hAnsi="Segoe UI Symbol" w:eastAsia="黑体" w:cs="Segoe UI Symbol"/>
                <w:kern w:val="0"/>
                <w:sz w:val="20"/>
                <w:lang w:bidi="ar"/>
              </w:rPr>
              <w:t>☑</w:t>
            </w:r>
            <w:r>
              <w:rPr>
                <w:rFonts w:hint="eastAsia" w:ascii="黑体" w:hAnsi="宋体" w:eastAsia="黑体" w:cs="黑体"/>
                <w:kern w:val="0"/>
                <w:sz w:val="20"/>
                <w:lang w:bidi="ar"/>
              </w:rPr>
              <w:t xml:space="preserve"> 公开招标    □邀请招标    □竞争性谈判    □单一来源     □询价</w:t>
            </w:r>
          </w:p>
        </w:tc>
      </w:tr>
      <w:tr>
        <w:tblPrEx>
          <w:tblCellMar>
            <w:top w:w="0" w:type="dxa"/>
            <w:left w:w="108" w:type="dxa"/>
            <w:bottom w:w="0" w:type="dxa"/>
            <w:right w:w="108" w:type="dxa"/>
          </w:tblCellMar>
        </w:tblPrEx>
        <w:trPr>
          <w:trHeight w:val="499" w:hRule="atLeast"/>
        </w:trPr>
        <w:tc>
          <w:tcPr>
            <w:tcW w:w="817" w:type="dxa"/>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2</w:t>
            </w:r>
          </w:p>
        </w:tc>
        <w:tc>
          <w:tcPr>
            <w:tcW w:w="1134"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评审方法</w:t>
            </w:r>
          </w:p>
        </w:tc>
        <w:tc>
          <w:tcPr>
            <w:tcW w:w="7109" w:type="dxa"/>
            <w:gridSpan w:val="6"/>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ascii="Segoe UI Symbol" w:hAnsi="Segoe UI Symbol" w:eastAsia="黑体" w:cs="Segoe UI Symbol"/>
                <w:kern w:val="0"/>
                <w:sz w:val="20"/>
                <w:lang w:bidi="ar"/>
              </w:rPr>
              <w:t>☑</w:t>
            </w:r>
            <w:r>
              <w:rPr>
                <w:rFonts w:hint="eastAsia" w:ascii="黑体" w:hAnsi="宋体" w:eastAsia="黑体" w:cs="黑体"/>
                <w:kern w:val="0"/>
                <w:sz w:val="20"/>
                <w:lang w:bidi="ar"/>
              </w:rPr>
              <w:t>综合评分法      □质量优先法      □经评审的最低价法</w:t>
            </w:r>
          </w:p>
        </w:tc>
      </w:tr>
      <w:tr>
        <w:tblPrEx>
          <w:tblCellMar>
            <w:top w:w="0" w:type="dxa"/>
            <w:left w:w="108" w:type="dxa"/>
            <w:bottom w:w="0" w:type="dxa"/>
            <w:right w:w="108" w:type="dxa"/>
          </w:tblCellMar>
        </w:tblPrEx>
        <w:trPr>
          <w:trHeight w:val="499" w:hRule="atLeast"/>
        </w:trPr>
        <w:tc>
          <w:tcPr>
            <w:tcW w:w="81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3</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技术偏离要求</w:t>
            </w:r>
          </w:p>
        </w:tc>
        <w:tc>
          <w:tcPr>
            <w:tcW w:w="7109"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lang w:bidi="ar"/>
              </w:rPr>
            </w:pPr>
            <w:r>
              <w:rPr>
                <w:rFonts w:hint="eastAsia" w:ascii="黑体" w:hAnsi="黑体" w:eastAsia="黑体" w:cs="黑体"/>
                <w:kern w:val="0"/>
                <w:sz w:val="20"/>
                <w:lang w:bidi="ar"/>
              </w:rPr>
              <w:t>▲标识的指标负偏离≥3项，投标企业技术分值为0分</w:t>
            </w:r>
          </w:p>
          <w:p>
            <w:pPr>
              <w:widowControl/>
              <w:spacing w:line="240" w:lineRule="exact"/>
              <w:jc w:val="left"/>
              <w:rPr>
                <w:rFonts w:ascii="黑体" w:hAnsi="黑体" w:eastAsia="黑体" w:cs="黑体"/>
                <w:kern w:val="0"/>
                <w:sz w:val="20"/>
                <w:lang w:bidi="ar"/>
              </w:rPr>
            </w:pPr>
            <w:r>
              <w:rPr>
                <w:rFonts w:hint="eastAsia" w:ascii="黑体" w:hAnsi="黑体" w:eastAsia="黑体" w:cs="黑体"/>
                <w:kern w:val="0"/>
                <w:sz w:val="20"/>
                <w:lang w:bidi="ar"/>
              </w:rPr>
              <w:t>▲标识的指标和“无标识”指标负偏离≥5项，投标企业技术分值为0分</w:t>
            </w:r>
          </w:p>
        </w:tc>
      </w:tr>
      <w:tr>
        <w:tblPrEx>
          <w:tblCellMar>
            <w:top w:w="0" w:type="dxa"/>
            <w:left w:w="108" w:type="dxa"/>
            <w:bottom w:w="0" w:type="dxa"/>
            <w:right w:w="108" w:type="dxa"/>
          </w:tblCellMar>
        </w:tblPrEx>
        <w:trPr>
          <w:trHeight w:val="2031"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bidi="ar"/>
              </w:rPr>
              <w:t>注：</w:t>
            </w:r>
          </w:p>
          <w:p>
            <w:pPr>
              <w:widowControl/>
              <w:spacing w:line="300" w:lineRule="exact"/>
              <w:ind w:left="600" w:leftChars="200" w:hanging="180" w:hangingChars="100"/>
              <w:jc w:val="left"/>
              <w:textAlignment w:val="center"/>
              <w:rPr>
                <w:rFonts w:ascii="宋体" w:hAnsi="宋体" w:cs="宋体"/>
                <w:kern w:val="0"/>
                <w:sz w:val="18"/>
                <w:szCs w:val="18"/>
                <w:lang w:bidi="ar"/>
              </w:rPr>
            </w:pPr>
            <w:r>
              <w:rPr>
                <w:rFonts w:hint="eastAsia" w:ascii="宋体" w:hAnsi="宋体" w:cs="宋体"/>
                <w:kern w:val="0"/>
                <w:sz w:val="18"/>
                <w:szCs w:val="18"/>
                <w:lang w:bidi="ar"/>
              </w:rPr>
              <w:t>1.★指标为必须响应指标，任意一项不满足要求即做废标处理；</w:t>
            </w:r>
          </w:p>
          <w:p>
            <w:pPr>
              <w:widowControl/>
              <w:spacing w:line="300" w:lineRule="exact"/>
              <w:ind w:left="600" w:leftChars="200" w:hanging="180" w:hangingChars="100"/>
              <w:jc w:val="left"/>
              <w:textAlignment w:val="center"/>
              <w:rPr>
                <w:rFonts w:ascii="宋体" w:hAnsi="宋体" w:cs="宋体"/>
                <w:kern w:val="0"/>
                <w:sz w:val="18"/>
                <w:szCs w:val="18"/>
                <w:lang w:bidi="ar"/>
              </w:rPr>
            </w:pPr>
            <w:r>
              <w:rPr>
                <w:rFonts w:hint="eastAsia" w:ascii="宋体" w:hAnsi="宋体" w:cs="宋体"/>
                <w:kern w:val="0"/>
                <w:sz w:val="18"/>
                <w:szCs w:val="18"/>
                <w:lang w:val="en-US" w:eastAsia="zh-CN" w:bidi="ar"/>
              </w:rPr>
              <w:t>2.</w:t>
            </w:r>
            <w:r>
              <w:rPr>
                <w:rFonts w:hint="eastAsia" w:ascii="宋体" w:hAnsi="宋体" w:cs="宋体"/>
                <w:kern w:val="0"/>
                <w:sz w:val="18"/>
                <w:szCs w:val="18"/>
                <w:lang w:bidi="ar"/>
              </w:rPr>
              <w:t>★及▲标识的指标，采购单位要逐条明确证明材料，无法明确的默认由企业提供承诺；</w:t>
            </w:r>
          </w:p>
          <w:p>
            <w:pPr>
              <w:widowControl/>
              <w:spacing w:after="62" w:afterLines="20" w:line="300" w:lineRule="exact"/>
              <w:ind w:left="420" w:leftChars="200"/>
              <w:jc w:val="left"/>
              <w:textAlignment w:val="center"/>
              <w:rPr>
                <w:rFonts w:ascii="宋体" w:hAnsi="宋体" w:cs="宋体"/>
                <w:sz w:val="22"/>
                <w:szCs w:val="22"/>
              </w:rPr>
            </w:pPr>
            <w:r>
              <w:rPr>
                <w:rFonts w:hint="eastAsia" w:ascii="宋体" w:hAnsi="宋体" w:cs="宋体"/>
                <w:kern w:val="0"/>
                <w:sz w:val="18"/>
                <w:szCs w:val="18"/>
                <w:lang w:val="en-US" w:eastAsia="zh-CN" w:bidi="ar"/>
              </w:rPr>
              <w:t>3</w:t>
            </w:r>
            <w:r>
              <w:rPr>
                <w:rFonts w:hint="eastAsia" w:ascii="宋体" w:hAnsi="宋体" w:cs="宋体"/>
                <w:kern w:val="0"/>
                <w:sz w:val="18"/>
                <w:szCs w:val="18"/>
                <w:lang w:bidi="ar"/>
              </w:rPr>
              <w:t>.经济要求不接受企</w:t>
            </w:r>
            <w:bookmarkStart w:id="0" w:name="_GoBack"/>
            <w:bookmarkEnd w:id="0"/>
            <w:r>
              <w:rPr>
                <w:rFonts w:hint="eastAsia" w:ascii="宋体" w:hAnsi="宋体" w:cs="宋体"/>
                <w:kern w:val="0"/>
                <w:sz w:val="18"/>
                <w:szCs w:val="18"/>
                <w:lang w:bidi="ar"/>
              </w:rPr>
              <w:t>业负偏离。</w:t>
            </w:r>
          </w:p>
        </w:tc>
      </w:tr>
    </w:tbl>
    <w:p>
      <w:pPr>
        <w:pStyle w:val="4"/>
        <w:spacing w:line="572" w:lineRule="exact"/>
        <w:ind w:left="0" w:leftChars="0" w:firstLine="0" w:firstLineChars="0"/>
        <w:rPr>
          <w:rFonts w:ascii="黑体" w:hAnsi="黑体" w:eastAsia="黑体" w:cs="黑体"/>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318"/>
    <w:rsid w:val="00035752"/>
    <w:rsid w:val="000E7983"/>
    <w:rsid w:val="000F5C65"/>
    <w:rsid w:val="001964D8"/>
    <w:rsid w:val="001C1036"/>
    <w:rsid w:val="0038148B"/>
    <w:rsid w:val="00430015"/>
    <w:rsid w:val="004676D6"/>
    <w:rsid w:val="00493029"/>
    <w:rsid w:val="00590DE1"/>
    <w:rsid w:val="006025DD"/>
    <w:rsid w:val="00607B5A"/>
    <w:rsid w:val="00662291"/>
    <w:rsid w:val="00683455"/>
    <w:rsid w:val="006C2B81"/>
    <w:rsid w:val="00751318"/>
    <w:rsid w:val="00760DAA"/>
    <w:rsid w:val="00886204"/>
    <w:rsid w:val="0089317A"/>
    <w:rsid w:val="008D0CF1"/>
    <w:rsid w:val="009F3963"/>
    <w:rsid w:val="00A31132"/>
    <w:rsid w:val="00A740B6"/>
    <w:rsid w:val="00AE35B6"/>
    <w:rsid w:val="00B2474B"/>
    <w:rsid w:val="00C11C28"/>
    <w:rsid w:val="00D11FFC"/>
    <w:rsid w:val="00F179DB"/>
    <w:rsid w:val="00F9033B"/>
    <w:rsid w:val="00FC7D3D"/>
    <w:rsid w:val="01A20263"/>
    <w:rsid w:val="034B67F3"/>
    <w:rsid w:val="686F6AD4"/>
    <w:rsid w:val="73C45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annotation text"/>
    <w:basedOn w:val="1"/>
    <w:qFormat/>
    <w:uiPriority w:val="0"/>
    <w:pPr>
      <w:jc w:val="left"/>
    </w:pPr>
  </w:style>
  <w:style w:type="paragraph" w:styleId="4">
    <w:name w:val="Body Text Indent"/>
    <w:basedOn w:val="1"/>
    <w:qFormat/>
    <w:uiPriority w:val="0"/>
    <w:pPr>
      <w:spacing w:line="400" w:lineRule="exact"/>
      <w:ind w:firstLine="600" w:firstLineChars="200"/>
    </w:pPr>
    <w:rPr>
      <w:rFonts w:ascii="仿宋_GB2312" w:eastAsia="仿宋_GB2312"/>
      <w:sz w:val="30"/>
    </w:rPr>
  </w:style>
  <w:style w:type="paragraph" w:styleId="5">
    <w:name w:val="Balloon Text"/>
    <w:basedOn w:val="1"/>
    <w:link w:val="13"/>
    <w:semiHidden/>
    <w:unhideWhenUsed/>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uiPriority w:val="0"/>
    <w:rPr>
      <w:sz w:val="21"/>
      <w:szCs w:val="21"/>
    </w:rPr>
  </w:style>
  <w:style w:type="character" w:customStyle="1" w:styleId="11">
    <w:name w:val="font111"/>
    <w:basedOn w:val="9"/>
    <w:qFormat/>
    <w:uiPriority w:val="0"/>
    <w:rPr>
      <w:rFonts w:hint="eastAsia" w:ascii="黑体" w:hAnsi="宋体" w:eastAsia="黑体" w:cs="黑体"/>
      <w:i/>
      <w:iCs/>
      <w:color w:val="000000"/>
      <w:sz w:val="20"/>
      <w:szCs w:val="20"/>
      <w:u w:val="none"/>
    </w:rPr>
  </w:style>
  <w:style w:type="character" w:customStyle="1" w:styleId="12">
    <w:name w:val="页眉 字符"/>
    <w:basedOn w:val="9"/>
    <w:link w:val="7"/>
    <w:qFormat/>
    <w:uiPriority w:val="0"/>
    <w:rPr>
      <w:kern w:val="2"/>
      <w:sz w:val="18"/>
      <w:szCs w:val="18"/>
    </w:rPr>
  </w:style>
  <w:style w:type="character" w:customStyle="1" w:styleId="13">
    <w:name w:val="批注框文本 字符"/>
    <w:basedOn w:val="9"/>
    <w:link w:val="5"/>
    <w:semiHidden/>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zb</Company>
  <Pages>3</Pages>
  <Words>297</Words>
  <Characters>1693</Characters>
  <Lines>14</Lines>
  <Paragraphs>3</Paragraphs>
  <TotalTime>0</TotalTime>
  <ScaleCrop>false</ScaleCrop>
  <LinksUpToDate>false</LinksUpToDate>
  <CharactersWithSpaces>1987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2024-06-14T07:58:00Z</dcterms:created>
  <dc:creator>DOCTOR</dc:creator>
  <cp:lastModifiedBy>DOCTOR</cp:lastModifiedBy>
  <dcterms:modified xsi:type="dcterms:W3CDTF">2024-07-26T02:59:02Z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GrammarlyDocumentId">
    <vt:lpwstr>e26ee95a66cd940058e27a0f4b416adcd553e5cc46c69e5f683f1d6409075509</vt:lpwstr>
  </property>
</Properties>
</file>