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超高精度显微CT（基础款）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能进行骨相关研究成像，包括关节炎、骨质疏松、骨损伤修复、骨再生等领域，可进行骨密度、骨微结构、骨小梁的定量分析。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符合行业标准；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光源焦点尺寸：≤6µm；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电压：≥90kV, 电压范围连续可调；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功率：≥10W；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能量选择金属滤片≥5种；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X光探测器类型：CMOS；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X光探测器像素数量：≥1500万像素；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支持探测器中心位置、2偏移位置和3偏移位置扫描，视野最大可扩大三倍；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探测器与X光光源之间距离可以自动调整，达到最佳成像效率；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提供说明文件及操作方式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空间分辨率像素大小：≤0.3µm；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低对比度分辨率 (10%MTF): ≤2µm；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扫描直径：≥70mm；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扫描高度：≥70mm；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断层重建方式：GPU加速重建；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重建最大像素数量：≥10000x10000像素；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辐射自屏蔽机架：仪器表面X射线辐射剂量&lt;1µSv/h；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配套图像获取及软件分析系统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扫描控制软件；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GPU加速数据重建软件；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重建结果可视化软件；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2D/3D图片处理和分析软件；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表面再现的3D可视化软件；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容积再现的3D可视化软件（具备手机及平板电脑版本）；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手机及平板电脑版本截图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图片格式转换软件和DICOM 格式转换功能；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可进行STL文件导出，支持3D打印机和有限元分析；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技术指标16.9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所有软件自主研发：非第三方软件，软件终身免费更新；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系统工作站：预装Windows专业版操作系统、内存≥128 GB 、显卡≥16 GB、硬盘≥8TB 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系统主机1台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实物图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样品台1台。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实物图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扫描控制及高级分析功能软件套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软件界面截图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系统工作站1台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实物图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合同签订后9个月内交付，交付地点由甲方指定。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签订合同付（预付）30%，物资到货（服务完成）验收后付65%。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提供不少于2人次、2天的工程师维修培训。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维修响应时间≤12小时，维修到达现场时间≤48小时。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▲标识的指标和“无标识”指标负偏离≥5项，投标企业技术分值为0分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D"/>
    <w:rsid w:val="00503CF7"/>
    <w:rsid w:val="007B00BD"/>
    <w:rsid w:val="00B500ED"/>
    <w:rsid w:val="00CB380E"/>
    <w:rsid w:val="546840D9"/>
    <w:rsid w:val="7E8E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356</Words>
  <Characters>2030</Characters>
  <Lines>16</Lines>
  <Paragraphs>4</Paragraphs>
  <TotalTime>11</TotalTime>
  <ScaleCrop>false</ScaleCrop>
  <LinksUpToDate>false</LinksUpToDate>
  <CharactersWithSpaces>2382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2024-07-09T00:28:00Z</dcterms:created>
  <dc:creator>e45095</dc:creator>
  <cp:lastModifiedBy>nyl</cp:lastModifiedBy>
  <dcterms:modified xsi:type="dcterms:W3CDTF">2024-08-02T10:46:53Z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