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Lines="50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035"/>
        <w:gridCol w:w="667"/>
        <w:gridCol w:w="783"/>
        <w:gridCol w:w="310"/>
        <w:gridCol w:w="953"/>
        <w:gridCol w:w="1275"/>
        <w:gridCol w:w="9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全自动血液体液分析仪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耗材（试剂）为设备生</w:t>
            </w:r>
            <w:bookmarkStart w:id="0" w:name="_GoBack"/>
            <w:bookmarkEnd w:id="0"/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产企业指定的唯一代工品牌。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全血细胞计数+5分类检测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  <w:t>100000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  <w:t>/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  <w:t>70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eastAsia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</w:rPr>
              <w:t>网织红细胞分析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  <w:t>30000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  <w:t>/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</w:rPr>
              <w:t>24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eastAsia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 xml:space="preserve">    3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C-反应蛋白(CRP)测定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72000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/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color w:val="000000" w:themeColor="text1"/>
                <w:sz w:val="20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0"/>
              </w:rPr>
              <w:t>58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B4A"/>
    <w:rsid w:val="00125B4A"/>
    <w:rsid w:val="001512F4"/>
    <w:rsid w:val="00354F5D"/>
    <w:rsid w:val="004370C7"/>
    <w:rsid w:val="008B46E4"/>
    <w:rsid w:val="008C5334"/>
    <w:rsid w:val="00B13B8F"/>
    <w:rsid w:val="00B8666F"/>
    <w:rsid w:val="00DC4FFD"/>
    <w:rsid w:val="00FD356A"/>
    <w:rsid w:val="00FF59F7"/>
    <w:rsid w:val="201E4559"/>
    <w:rsid w:val="223F63DC"/>
    <w:rsid w:val="299810AB"/>
    <w:rsid w:val="34E323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134</Characters>
  <Lines>1</Lines>
  <Paragraphs>1</Paragraphs>
  <TotalTime>12</TotalTime>
  <ScaleCrop>false</ScaleCrop>
  <LinksUpToDate>false</LinksUpToDate>
  <CharactersWithSpaces>457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2024-03-12T08:23:00Z</dcterms:created>
  <dc:creator>Administrator</dc:creator>
  <cp:lastModifiedBy>zyp</cp:lastModifiedBy>
  <dcterms:modified xsi:type="dcterms:W3CDTF">2024-08-08T23:51:17Z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FB8530D40C3C43739ECD88B46C6CB998</vt:lpwstr>
  </property>
</Properties>
</file>