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620"/>
        <w:gridCol w:w="900"/>
        <w:gridCol w:w="840"/>
        <w:gridCol w:w="2420"/>
        <w:gridCol w:w="1060"/>
        <w:gridCol w:w="900"/>
        <w:gridCol w:w="1100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560" w:hRule="atLeast"/>
        </w:trPr>
        <w:tc>
          <w:tcPr>
            <w:tcW w:w="9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14:ligatures w14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14:ligatures w14:val="none"/>
              </w:rPr>
              <w:t>采购需求表（物资类）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820" w:hRule="atLeast"/>
        </w:trPr>
        <w:tc>
          <w:tcPr>
            <w:tcW w:w="4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项目名称</w:t>
            </w: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全自动细胞计数仪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最高限价（万元）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500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需求名称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参数</w:t>
            </w:r>
          </w:p>
        </w:tc>
        <w:tc>
          <w:tcPr>
            <w:tcW w:w="34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需求具体内容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是否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20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性质</w:t>
            </w:r>
          </w:p>
        </w:tc>
        <w:tc>
          <w:tcPr>
            <w:tcW w:w="34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量化</w:t>
            </w:r>
          </w:p>
        </w:tc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20" w:hRule="atLeast"/>
        </w:trPr>
        <w:tc>
          <w:tcPr>
            <w:tcW w:w="9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8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基本要求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用于明场细胞计数；活细胞，死细胞荧光精确计数；台酚蓝染色计数；转染效率分析等研究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14:ligatures w14:val="none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标准规范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CE认证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检测通量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同时检测≥6个样品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20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光学通道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3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≥5通道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检测浓度范围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低浓度≤5×10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 xml:space="preserve">3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，高浓度≥2.5×10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superscript"/>
                <w14:ligatures w14:val="none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 xml:space="preserve"> cells/ml；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细胞直径范围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4–250 um；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物镜倍数：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至少为4倍荧光显微物镜；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单孔加样体积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跟据样品浓度可以调整，至少包含5ul、10ul、20ul中两种加样体积，适合高低不同浓度样本；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对焦方式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包含自动聚焦和手动聚焦；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曝光模式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台盼蓝和AOPI模式下，仪器自动调整曝光度，无需人为干预；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成像元件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≥630万像素cmos相机；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拍照视野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▲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每个通道拍照视野包含1、3、5等3种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显示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≥7英寸全触摸屏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内存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≥120G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专用一次性耗材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无需一次性耗材，无需拆卸清洗，操作便捷。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技术资料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贴壁细胞检测模式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可选配6孔、12孔、24孔及48孔板贴壁细胞检测模式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配置要求1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主机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配置要求2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加样台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验收标准方法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经济要求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交货时间、交货地点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合同签订后2个月内交付，交付地点由甲方指定。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付款及结算方式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到货验收后付95%。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履约保证金/质量保证金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验收合格后满1年无质量问题支付剩余5%（不超过5%）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产品包装和运输要求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按照国家、行业相关标准规范，产品确保包装完好，运输确保不对产品造成损伤。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售后服务1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保修年限不低于2年，全年故障停机时间不高于5%（按365日/年计算)。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原厂授权（企业承诺）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（质保）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售后服务2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保修期内免费提供定期维护保养服务，免费升级和维护软件，免费提供使用培训。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（质保）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售后服务3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提供不少于2人次、2天的工程师维修培训。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（质保）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售后服务4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维修响应时间≤2小时，维修到达现场时间≤8小时。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（响应时间）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备品备件要求（零配件）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由供应商承诺项目使用寿命周期内保证零配件供应。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专用工具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★</w:t>
            </w:r>
          </w:p>
        </w:tc>
        <w:tc>
          <w:tcPr>
            <w:tcW w:w="43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描述应提供的配套专修工具和使用工具。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14:ligatures w14:val="none"/>
              </w:rPr>
              <w:t>企业承诺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1F"/>
    <w:rsid w:val="000876CA"/>
    <w:rsid w:val="00182727"/>
    <w:rsid w:val="001B1FF3"/>
    <w:rsid w:val="003E59E0"/>
    <w:rsid w:val="00492CE2"/>
    <w:rsid w:val="004D02B8"/>
    <w:rsid w:val="005D3DD9"/>
    <w:rsid w:val="006A401F"/>
    <w:rsid w:val="006C7FB7"/>
    <w:rsid w:val="00715860"/>
    <w:rsid w:val="007D5AE6"/>
    <w:rsid w:val="0087319D"/>
    <w:rsid w:val="008B3279"/>
    <w:rsid w:val="0098313D"/>
    <w:rsid w:val="009B6A5E"/>
    <w:rsid w:val="00AF344B"/>
    <w:rsid w:val="00B5701F"/>
    <w:rsid w:val="00BA43D7"/>
    <w:rsid w:val="00CA0BEF"/>
    <w:rsid w:val="00DC593A"/>
    <w:rsid w:val="00E1709B"/>
    <w:rsid w:val="00EB193D"/>
    <w:rsid w:val="00FE743A"/>
    <w:rsid w:val="35C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1716</Characters>
  <Lines>14</Lines>
  <Paragraphs>4</Paragraphs>
  <TotalTime>2</TotalTime>
  <ScaleCrop>false</ScaleCrop>
  <LinksUpToDate>false</LinksUpToDate>
  <CharactersWithSpaces>2013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2024-07-05T06:48:00Z</dcterms:created>
  <dc:creator>Microsoft Office User</dc:creator>
  <cp:lastModifiedBy>Lenovo</cp:lastModifiedBy>
  <dcterms:modified xsi:type="dcterms:W3CDTF">2024-08-12T07:00:07Z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