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采购需求表（物资类）</w:t>
      </w:r>
    </w:p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73"/>
        <w:gridCol w:w="835"/>
        <w:gridCol w:w="605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荧光倒置显微镜成像系统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用于观察普通染色、荧光标记的切片、适用于活细胞观察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资质证明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光学系统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无限远色差反差双重校正光学系统，≥45mm国际标准物镜齐焦距离；V型光路设计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载物台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面积≥（240*230)mm，行程≥（130*85）mm，带通用样品夹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明场照明装置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LED光源，使用寿命≥60000小时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调焦行程≥10mm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目镜筒及目镜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调视场数≥23mm，镜筒360度上下自由翻转；双眼屈光度可调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相差物镜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5x，NA≥0.12；10×，NA≥0.30；20×， NA≥0.4；40×，NA≥0.6；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物镜转盘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聚光镜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N.A≧0.35，带明场观察、相差观察和DIC立体浮雕观察；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荧光光源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LED荧光光源，使用寿命≧20000小时。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 w:val="0"/>
                <w:bCs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3.10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荧光滤色镜套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五组带通滤色块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荧光转盘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≥6孔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荧光光路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复消色差荧光光路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3.13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图像采集系统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显微镜同品牌摄像头物理像素≥2000万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显微镜主机1套、摄像头1台、电脑1套（CPU≥i7 12代以上、内存≥32GB、≥显存8G 2TB固态硬盘+≥4T机械硬盘、屏幕尺寸≥27寸）、图像分析软件1套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szCs w:val="20"/>
                <w:highlight w:val="none"/>
                <w:lang w:val="en-US" w:eastAsia="zh-CN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签订合同付（预付）0%，物资到货（服务完成）验收后付100%。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 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提供不少于5人次、2天的工程师维修培训。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维修响应时间≤4小时，维修到达现场时间≤24小时。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采购方式</w:t>
            </w:r>
          </w:p>
        </w:tc>
        <w:tc>
          <w:tcPr>
            <w:tcW w:w="70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□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 xml:space="preserve">公开招标    □邀请招标    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评审方法</w:t>
            </w:r>
          </w:p>
        </w:tc>
        <w:tc>
          <w:tcPr>
            <w:tcW w:w="705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70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8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14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注：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bidi="ar"/>
              </w:rPr>
              <w:t>.经济要求不接受企业负偏离；</w:t>
            </w:r>
          </w:p>
        </w:tc>
      </w:tr>
    </w:tbl>
    <w:p>
      <w:pPr>
        <w:pStyle w:val="2"/>
        <w:rPr>
          <w:rFonts w:hint="default" w:ascii="黑体" w:hAnsi="黑体" w:eastAsia="黑体" w:cs="黑体"/>
          <w:kern w:val="0"/>
          <w:sz w:val="20"/>
          <w:szCs w:val="20"/>
          <w:highlight w:val="none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N2E4ZTgxZDhjNmFhMTM5NGVkNGMxNTgwNDhjMDQifQ=="/>
  </w:docVars>
  <w:rsids>
    <w:rsidRoot w:val="1CCF792C"/>
    <w:rsid w:val="008E6438"/>
    <w:rsid w:val="05674956"/>
    <w:rsid w:val="1C2A31B0"/>
    <w:rsid w:val="1CCF792C"/>
    <w:rsid w:val="383619B1"/>
    <w:rsid w:val="481869BF"/>
    <w:rsid w:val="514C286B"/>
    <w:rsid w:val="5C381321"/>
    <w:rsid w:val="628D3CF9"/>
    <w:rsid w:val="64CF21E5"/>
    <w:rsid w:val="65136487"/>
    <w:rsid w:val="68983253"/>
    <w:rsid w:val="696A109E"/>
    <w:rsid w:val="736B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111"/>
    <w:basedOn w:val="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1512</Words>
  <Characters>1663</Characters>
  <Lines>0</Lines>
  <Paragraphs>0</Paragraphs>
  <TotalTime>35</TotalTime>
  <ScaleCrop>false</ScaleCrop>
  <LinksUpToDate>false</LinksUpToDate>
  <CharactersWithSpaces>1698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2024-05-29T00:48:00Z</dcterms:created>
  <dc:creator>王雪婷</dc:creator>
  <cp:lastModifiedBy>DOCTOR</cp:lastModifiedBy>
  <dcterms:modified xsi:type="dcterms:W3CDTF">2024-09-06T09:37:51Z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9AD5D477487A44E0B6DC3B0BF952E305_11</vt:lpwstr>
  </property>
</Properties>
</file>