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ascii="方正小标宋简体" w:hAnsi="方正小标宋简体" w:eastAsia="方正小标宋简体" w:cs="方正小标宋简体"/>
          <w:kern w:val="0"/>
          <w:sz w:val="44"/>
          <w:szCs w:val="44"/>
        </w:rPr>
      </w:pPr>
    </w:p>
    <w:p>
      <w:pPr>
        <w:overflowPunct w:val="0"/>
        <w:spacing w:before="156" w:beforeLines="50" w:after="156" w:afterLines="50" w:line="572"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采购需求表（物资类）</w:t>
      </w:r>
    </w:p>
    <w:tbl>
      <w:tblPr>
        <w:tblStyle w:val="7"/>
        <w:tblpPr w:leftFromText="180" w:rightFromText="180" w:vertAnchor="text" w:horzAnchor="page" w:tblpX="1562" w:tblpY="807"/>
        <w:tblOverlap w:val="never"/>
        <w:tblW w:w="9060" w:type="dxa"/>
        <w:tblInd w:w="0" w:type="dxa"/>
        <w:tblLayout w:type="fixed"/>
        <w:tblCellMar>
          <w:top w:w="0" w:type="dxa"/>
          <w:left w:w="108" w:type="dxa"/>
          <w:bottom w:w="0" w:type="dxa"/>
          <w:right w:w="108" w:type="dxa"/>
        </w:tblCellMar>
      </w:tblPr>
      <w:tblGrid>
        <w:gridCol w:w="501"/>
        <w:gridCol w:w="669"/>
        <w:gridCol w:w="720"/>
        <w:gridCol w:w="720"/>
        <w:gridCol w:w="75"/>
        <w:gridCol w:w="1095"/>
        <w:gridCol w:w="2115"/>
        <w:gridCol w:w="1208"/>
        <w:gridCol w:w="727"/>
        <w:gridCol w:w="1230"/>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151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ascii="黑体" w:hAnsi="宋体" w:eastAsia="黑体" w:cs="黑体"/>
                <w:sz w:val="20"/>
              </w:rPr>
            </w:pP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Theme="minorEastAsia" w:hAnsiTheme="minorEastAsia" w:eastAsiaTheme="minorEastAsia"/>
                <w:szCs w:val="21"/>
              </w:rPr>
              <w:t>近红外脑功能成像系统</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w:t>
            </w:r>
            <w:r>
              <w:rPr>
                <w:rFonts w:ascii="黑体" w:hAnsi="宋体" w:eastAsia="黑体" w:cs="黑体"/>
                <w:sz w:val="20"/>
              </w:rPr>
              <w:t>30</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是否</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备注（证明材料等其他要求）</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技术要求</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2"/>
              <w:textAlignment w:val="center"/>
              <w:rPr>
                <w:rFonts w:ascii="黑体" w:hAnsi="宋体" w:eastAsia="黑体" w:cs="黑体"/>
                <w:sz w:val="20"/>
              </w:rPr>
            </w:pPr>
            <w:r>
              <w:rPr>
                <w:rFonts w:ascii="黑体" w:hAnsi="宋体" w:eastAsia="黑体" w:cs="黑体"/>
                <w:sz w:val="20"/>
              </w:rPr>
              <w:t>通过多通道脑血氧检测和脑电信号的同步采集和分析，分析脑疲劳程度和认知特征，支撑脑认知负荷工效评估。通过32个通道(位置)的脑区脑电信号和脑血氧信号检测；检测位置可由用户自由配置，并可在线任意切换；通过一体光电极座，可自由安排光电极位置；脑血氧和脑电检测可单独或同步进行；脑氧检测中近红外发射光功率和增益放大倍数连续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彩页/技术白皮书</w:t>
            </w:r>
          </w:p>
        </w:tc>
      </w:tr>
      <w:tr>
        <w:tblPrEx>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 xml:space="preserve"> 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lang w:eastAsia="zh-CN"/>
              </w:rPr>
            </w:pPr>
            <w:r>
              <w:rPr>
                <w:rFonts w:hint="eastAsia" w:ascii="黑体" w:hAnsi="宋体" w:eastAsia="黑体" w:cs="黑体"/>
                <w:kern w:val="0"/>
                <w:sz w:val="20"/>
                <w:lang w:eastAsia="zh-CN" w:bidi="ar"/>
              </w:rPr>
              <w:t>符合：医疗器械电气安全性检测科目的检测报告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检测报告</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近红外脑氧采集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sz w:val="20"/>
              </w:rPr>
              <w:t>≥</w:t>
            </w:r>
            <w:r>
              <w:rPr>
                <w:rFonts w:ascii="仿宋" w:hAnsi="仿宋" w:eastAsia="仿宋"/>
                <w:bCs/>
                <w:kern w:val="0"/>
                <w:sz w:val="22"/>
                <w:lang w:val="en-SG"/>
              </w:rPr>
              <w:t>32</w:t>
            </w:r>
            <w:r>
              <w:rPr>
                <w:rFonts w:hint="eastAsia" w:ascii="仿宋" w:hAnsi="仿宋" w:eastAsia="仿宋"/>
                <w:bCs/>
                <w:kern w:val="0"/>
                <w:sz w:val="22"/>
                <w:lang w:val="en-SG"/>
              </w:rPr>
              <w:t>通道的脑氧采集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仿宋" w:hAnsi="仿宋" w:eastAsia="仿宋"/>
                <w:bCs/>
                <w:kern w:val="0"/>
                <w:sz w:val="22"/>
              </w:rPr>
            </w:pPr>
            <w:r>
              <w:rPr>
                <w:rFonts w:hint="eastAsia" w:ascii="仿宋" w:hAnsi="仿宋" w:eastAsia="仿宋"/>
                <w:bCs/>
                <w:kern w:val="0"/>
                <w:sz w:val="22"/>
              </w:rPr>
              <w:t>探头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rPr>
              <w:t>≥</w:t>
            </w:r>
            <w:r>
              <w:rPr>
                <w:rFonts w:hint="eastAsia" w:ascii="仿宋" w:hAnsi="仿宋" w:eastAsia="仿宋"/>
                <w:bCs/>
                <w:kern w:val="0"/>
                <w:sz w:val="22"/>
                <w:lang w:val="en-SG"/>
              </w:rPr>
              <w:t>3</w:t>
            </w:r>
            <w:r>
              <w:rPr>
                <w:rFonts w:ascii="仿宋" w:hAnsi="仿宋" w:eastAsia="仿宋"/>
                <w:bCs/>
                <w:kern w:val="0"/>
                <w:sz w:val="22"/>
                <w:lang w:val="en-SG"/>
              </w:rPr>
              <w:t>2</w:t>
            </w:r>
            <w:r>
              <w:rPr>
                <w:rFonts w:hint="eastAsia" w:ascii="仿宋" w:hAnsi="仿宋" w:eastAsia="仿宋"/>
                <w:bCs/>
                <w:kern w:val="0"/>
                <w:sz w:val="22"/>
                <w:lang w:val="en-SG"/>
              </w:rPr>
              <w:t>个近红外发射</w:t>
            </w:r>
            <w:r>
              <w:rPr>
                <w:rFonts w:hint="eastAsia" w:ascii="仿宋" w:hAnsi="仿宋" w:eastAsia="仿宋"/>
                <w:bCs/>
                <w:kern w:val="0"/>
                <w:sz w:val="22"/>
              </w:rPr>
              <w:t>和接收</w:t>
            </w:r>
            <w:r>
              <w:rPr>
                <w:rFonts w:hint="eastAsia" w:ascii="仿宋" w:hAnsi="仿宋" w:eastAsia="仿宋"/>
                <w:bCs/>
                <w:kern w:val="0"/>
                <w:sz w:val="22"/>
                <w:lang w:val="en-SG"/>
              </w:rPr>
              <w:t>探头</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仿宋" w:hAnsi="仿宋" w:eastAsia="仿宋"/>
                <w:bCs/>
                <w:kern w:val="0"/>
                <w:sz w:val="22"/>
                <w:lang w:val="en-SG"/>
              </w:rPr>
            </w:pPr>
            <w:r>
              <w:rPr>
                <w:rFonts w:hint="eastAsia" w:ascii="仿宋" w:hAnsi="仿宋" w:eastAsia="仿宋"/>
                <w:bCs/>
                <w:kern w:val="0"/>
                <w:sz w:val="22"/>
                <w:lang w:val="en-SG"/>
              </w:rPr>
              <w:t>近红外信号采样频率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rPr>
              <w:t>≥</w:t>
            </w:r>
            <w:r>
              <w:rPr>
                <w:rFonts w:hint="eastAsia" w:ascii="仿宋" w:hAnsi="仿宋" w:eastAsia="仿宋"/>
                <w:bCs/>
                <w:kern w:val="0"/>
                <w:sz w:val="22"/>
                <w:lang w:val="en-SG"/>
              </w:rPr>
              <w:t>1</w:t>
            </w:r>
            <w:r>
              <w:rPr>
                <w:rFonts w:ascii="仿宋" w:hAnsi="仿宋" w:eastAsia="仿宋"/>
                <w:bCs/>
                <w:kern w:val="0"/>
                <w:sz w:val="22"/>
                <w:lang w:val="en-SG"/>
              </w:rPr>
              <w:t>000</w:t>
            </w:r>
            <w:r>
              <w:rPr>
                <w:rFonts w:hint="eastAsia" w:ascii="仿宋" w:hAnsi="仿宋" w:eastAsia="仿宋"/>
                <w:bCs/>
                <w:kern w:val="0"/>
                <w:sz w:val="22"/>
                <w:lang w:val="en-SG"/>
              </w:rPr>
              <w:t>Hz</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近红外输出光强差异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ascii="仿宋" w:hAnsi="仿宋" w:eastAsia="仿宋"/>
                <w:bCs/>
                <w:kern w:val="0"/>
                <w:sz w:val="22"/>
                <w:lang w:val="en-SG"/>
              </w:rPr>
              <w:t>&lt;1mW</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每路光功率输出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lang w:val="en-SG"/>
              </w:rPr>
              <w:t>6</w:t>
            </w:r>
            <w:r>
              <w:rPr>
                <w:rFonts w:ascii="仿宋" w:hAnsi="仿宋" w:eastAsia="仿宋"/>
                <w:bCs/>
                <w:kern w:val="0"/>
                <w:sz w:val="22"/>
                <w:lang w:val="en-SG"/>
              </w:rPr>
              <w:t>90</w:t>
            </w:r>
            <w:r>
              <w:rPr>
                <w:rFonts w:hint="eastAsia" w:ascii="仿宋" w:hAnsi="仿宋" w:eastAsia="仿宋"/>
                <w:bCs/>
                <w:kern w:val="0"/>
                <w:sz w:val="22"/>
                <w:lang w:val="en-SG"/>
              </w:rPr>
              <w:t>nm光输出为4±0</w:t>
            </w:r>
            <w:r>
              <w:rPr>
                <w:rFonts w:ascii="仿宋" w:hAnsi="仿宋" w:eastAsia="仿宋"/>
                <w:bCs/>
                <w:kern w:val="0"/>
                <w:sz w:val="22"/>
                <w:lang w:val="en-SG"/>
              </w:rPr>
              <w:t>.5</w:t>
            </w:r>
            <w:r>
              <w:rPr>
                <w:rFonts w:hint="eastAsia" w:ascii="仿宋" w:hAnsi="仿宋" w:eastAsia="仿宋"/>
                <w:bCs/>
                <w:kern w:val="0"/>
                <w:sz w:val="22"/>
                <w:lang w:val="en-SG"/>
              </w:rPr>
              <w:t>mW，8</w:t>
            </w:r>
            <w:r>
              <w:rPr>
                <w:rFonts w:ascii="仿宋" w:hAnsi="仿宋" w:eastAsia="仿宋"/>
                <w:bCs/>
                <w:kern w:val="0"/>
                <w:sz w:val="22"/>
                <w:lang w:val="en-SG"/>
              </w:rPr>
              <w:t>30</w:t>
            </w:r>
            <w:r>
              <w:rPr>
                <w:rFonts w:hint="eastAsia" w:ascii="仿宋" w:hAnsi="仿宋" w:eastAsia="仿宋"/>
                <w:bCs/>
                <w:kern w:val="0"/>
                <w:sz w:val="22"/>
                <w:lang w:val="en-SG"/>
              </w:rPr>
              <w:t>nm光输出为2±0</w:t>
            </w:r>
            <w:r>
              <w:rPr>
                <w:rFonts w:ascii="仿宋" w:hAnsi="仿宋" w:eastAsia="仿宋"/>
                <w:bCs/>
                <w:kern w:val="0"/>
                <w:sz w:val="22"/>
                <w:lang w:val="en-SG"/>
              </w:rPr>
              <w:t>.5</w:t>
            </w:r>
            <w:r>
              <w:rPr>
                <w:rFonts w:hint="eastAsia" w:ascii="仿宋" w:hAnsi="仿宋" w:eastAsia="仿宋"/>
                <w:bCs/>
                <w:kern w:val="0"/>
                <w:sz w:val="22"/>
                <w:lang w:val="en-SG"/>
              </w:rPr>
              <w:t>mW</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仿宋" w:hAnsi="仿宋" w:eastAsia="仿宋"/>
                <w:bCs/>
                <w:kern w:val="0"/>
                <w:sz w:val="22"/>
                <w:lang w:val="en-SG"/>
              </w:rPr>
            </w:pPr>
            <w:r>
              <w:rPr>
                <w:rFonts w:hint="eastAsia" w:ascii="仿宋" w:hAnsi="仿宋" w:eastAsia="仿宋"/>
                <w:bCs/>
                <w:kern w:val="0"/>
                <w:sz w:val="22"/>
                <w:lang w:val="en-SG"/>
              </w:rPr>
              <w:t>通道间时间差</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仿宋" w:hAnsi="仿宋" w:eastAsia="仿宋"/>
                <w:bCs/>
                <w:kern w:val="0"/>
                <w:sz w:val="22"/>
              </w:rPr>
            </w:pPr>
            <w:r>
              <w:rPr>
                <w:rFonts w:hint="eastAsia" w:ascii="仿宋" w:hAnsi="仿宋" w:eastAsia="仿宋"/>
                <w:bCs/>
                <w:kern w:val="0"/>
                <w:sz w:val="22"/>
              </w:rPr>
              <w:t>≤</w:t>
            </w:r>
            <w:r>
              <w:rPr>
                <w:rFonts w:hint="eastAsia" w:ascii="仿宋" w:hAnsi="仿宋" w:eastAsia="仿宋"/>
                <w:bCs/>
                <w:kern w:val="0"/>
                <w:sz w:val="22"/>
                <w:lang w:val="en-SG"/>
              </w:rPr>
              <w:t>1ms</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仿宋" w:hAnsi="仿宋" w:eastAsia="仿宋"/>
                <w:bCs/>
                <w:kern w:val="0"/>
                <w:sz w:val="22"/>
                <w:lang w:val="en-SG"/>
              </w:rPr>
            </w:pPr>
            <w:r>
              <w:rPr>
                <w:rFonts w:hint="eastAsia" w:ascii="仿宋" w:hAnsi="仿宋" w:eastAsia="仿宋"/>
                <w:bCs/>
                <w:kern w:val="0"/>
                <w:sz w:val="22"/>
                <w:lang w:val="en-SG"/>
              </w:rPr>
              <w:t>光检测响应时间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仿宋" w:hAnsi="仿宋" w:eastAsia="仿宋"/>
                <w:bCs/>
                <w:kern w:val="0"/>
                <w:sz w:val="22"/>
              </w:rPr>
            </w:pPr>
            <w:r>
              <w:rPr>
                <w:rFonts w:hint="eastAsia" w:ascii="仿宋" w:hAnsi="仿宋" w:eastAsia="仿宋"/>
                <w:bCs/>
                <w:kern w:val="0"/>
                <w:sz w:val="22"/>
              </w:rPr>
              <w:t>≤</w:t>
            </w:r>
            <w:r>
              <w:rPr>
                <w:rFonts w:hint="eastAsia" w:ascii="仿宋" w:hAnsi="仿宋" w:eastAsia="仿宋"/>
                <w:bCs/>
                <w:kern w:val="0"/>
                <w:sz w:val="22"/>
                <w:lang w:val="en-SG"/>
              </w:rPr>
              <w:t>1</w:t>
            </w:r>
            <w:r>
              <w:rPr>
                <w:rFonts w:ascii="仿宋" w:hAnsi="仿宋" w:eastAsia="仿宋"/>
                <w:bCs/>
                <w:kern w:val="0"/>
                <w:sz w:val="22"/>
                <w:lang w:val="en-SG"/>
              </w:rPr>
              <w:t>0</w:t>
            </w:r>
            <w:r>
              <w:rPr>
                <w:rFonts w:hint="eastAsia" w:ascii="仿宋" w:hAnsi="仿宋" w:eastAsia="仿宋"/>
                <w:bCs/>
                <w:kern w:val="0"/>
                <w:sz w:val="22"/>
                <w:lang w:val="en-SG"/>
              </w:rPr>
              <w:t>ms</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仿宋" w:cs="黑体"/>
                <w:kern w:val="0"/>
                <w:sz w:val="20"/>
                <w:lang w:bidi="ar"/>
              </w:rPr>
            </w:pPr>
            <w:r>
              <w:rPr>
                <w:rFonts w:hint="eastAsia" w:ascii="仿宋" w:hAnsi="仿宋" w:eastAsia="仿宋"/>
                <w:bCs/>
                <w:kern w:val="0"/>
                <w:sz w:val="22"/>
                <w:lang w:val="en-SG"/>
              </w:rPr>
              <w:t>脑电</w:t>
            </w:r>
            <w:r>
              <w:rPr>
                <w:rFonts w:hint="eastAsia" w:ascii="仿宋" w:hAnsi="仿宋" w:eastAsia="仿宋"/>
                <w:bCs/>
                <w:kern w:val="0"/>
                <w:sz w:val="22"/>
              </w:rPr>
              <w:t>通道</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rPr>
              <w:t>≥</w:t>
            </w:r>
            <w:r>
              <w:rPr>
                <w:rFonts w:ascii="仿宋" w:hAnsi="仿宋" w:eastAsia="仿宋"/>
                <w:bCs/>
                <w:kern w:val="0"/>
                <w:sz w:val="22"/>
                <w:lang w:val="en-SG"/>
              </w:rPr>
              <w:t>32</w:t>
            </w:r>
            <w:r>
              <w:rPr>
                <w:rFonts w:hint="eastAsia" w:ascii="仿宋" w:hAnsi="仿宋" w:eastAsia="仿宋"/>
                <w:bCs/>
                <w:kern w:val="0"/>
                <w:sz w:val="22"/>
                <w:lang w:val="en-SG"/>
              </w:rPr>
              <w:t>通道脑电采集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噪声水平</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ascii="仿宋" w:hAnsi="仿宋" w:eastAsia="仿宋"/>
                <w:bCs/>
                <w:kern w:val="0"/>
                <w:sz w:val="22"/>
                <w:lang w:val="en-SG"/>
              </w:rPr>
              <w:t xml:space="preserve"> &lt;1uV</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共模抑制比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ascii="仿宋" w:hAnsi="仿宋" w:eastAsia="仿宋"/>
                <w:bCs/>
                <w:kern w:val="0"/>
                <w:sz w:val="22"/>
                <w:lang w:val="en-SG"/>
              </w:rPr>
              <w:t>&gt;110dB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噪声电平</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rPr>
              <w:t>≤</w:t>
            </w:r>
            <w:r>
              <w:rPr>
                <w:rFonts w:hint="eastAsia" w:ascii="仿宋" w:hAnsi="仿宋" w:eastAsia="仿宋"/>
                <w:bCs/>
                <w:kern w:val="0"/>
                <w:sz w:val="22"/>
                <w:lang w:val="en-SG"/>
              </w:rPr>
              <w:t>5</w:t>
            </w:r>
            <w:r>
              <w:rPr>
                <w:rFonts w:ascii="仿宋" w:hAnsi="仿宋" w:eastAsia="仿宋"/>
                <w:bCs/>
                <w:kern w:val="0"/>
                <w:sz w:val="22"/>
                <w:lang w:val="en-SG"/>
              </w:rPr>
              <w:t>uV</w:t>
            </w:r>
            <w:r>
              <w:rPr>
                <w:rFonts w:hint="eastAsia" w:ascii="仿宋" w:hAnsi="仿宋" w:eastAsia="仿宋"/>
                <w:bCs/>
                <w:kern w:val="0"/>
                <w:sz w:val="22"/>
                <w:lang w:val="en-SG"/>
              </w:rPr>
              <w:t>（峰峰值）</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输入阻抗</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rPr>
              <w:t>≥</w:t>
            </w:r>
            <w:r>
              <w:rPr>
                <w:rFonts w:hint="eastAsia" w:ascii="仿宋" w:hAnsi="仿宋" w:eastAsia="仿宋"/>
                <w:bCs/>
                <w:kern w:val="0"/>
                <w:sz w:val="22"/>
                <w:lang w:val="en-SG"/>
              </w:rPr>
              <w:t>3MΩ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同步性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lang w:val="en-SG"/>
              </w:rPr>
              <w:t>脑电信号和脑血氧信号的同步检测在</w:t>
            </w:r>
            <w:r>
              <w:rPr>
                <w:rFonts w:ascii="仿宋" w:hAnsi="仿宋" w:eastAsia="仿宋"/>
                <w:bCs/>
                <w:kern w:val="0"/>
                <w:sz w:val="22"/>
                <w:lang w:val="en-SG"/>
              </w:rPr>
              <w:t>10ms</w:t>
            </w:r>
            <w:r>
              <w:rPr>
                <w:rFonts w:hint="eastAsia" w:ascii="仿宋" w:hAnsi="仿宋" w:eastAsia="仿宋"/>
                <w:bCs/>
                <w:kern w:val="0"/>
                <w:sz w:val="22"/>
                <w:lang w:val="en-SG"/>
              </w:rPr>
              <w:t>之内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同步性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仿宋" w:hAnsi="仿宋" w:eastAsia="仿宋"/>
                <w:bCs/>
                <w:kern w:val="0"/>
                <w:sz w:val="22"/>
                <w:lang w:val="en-SG"/>
              </w:rPr>
              <w:t>双模态信号采集的采样率</w:t>
            </w:r>
            <w:r>
              <w:rPr>
                <w:rFonts w:ascii="仿宋" w:hAnsi="仿宋" w:eastAsia="仿宋"/>
                <w:bCs/>
                <w:kern w:val="0"/>
                <w:sz w:val="22"/>
                <w:lang w:val="en-SG"/>
              </w:rPr>
              <w:t>(10-1000Hz)</w:t>
            </w:r>
            <w:r>
              <w:rPr>
                <w:rFonts w:hint="eastAsia" w:ascii="仿宋" w:hAnsi="仿宋" w:eastAsia="仿宋"/>
                <w:bCs/>
                <w:kern w:val="0"/>
                <w:sz w:val="22"/>
                <w:lang w:val="en-SG"/>
              </w:rPr>
              <w:t>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仿宋" w:hAnsi="仿宋" w:eastAsia="仿宋"/>
                <w:bCs/>
                <w:kern w:val="0"/>
                <w:sz w:val="22"/>
                <w:lang w:val="en-SG"/>
              </w:rPr>
              <w:t>实时性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仿宋" w:hAnsi="仿宋" w:eastAsia="仿宋"/>
                <w:bCs/>
                <w:kern w:val="0"/>
                <w:sz w:val="22"/>
                <w:lang w:val="en-SG"/>
              </w:rPr>
            </w:pPr>
            <w:r>
              <w:rPr>
                <w:rFonts w:hint="eastAsia" w:ascii="仿宋" w:hAnsi="仿宋" w:eastAsia="仿宋"/>
                <w:bCs/>
                <w:kern w:val="0"/>
                <w:sz w:val="22"/>
                <w:lang w:val="en-SG"/>
              </w:rPr>
              <w:t>实时显示脑电信号和脑血氧信号</w:t>
            </w:r>
            <w:r>
              <w:rPr>
                <w:rFonts w:ascii="仿宋" w:hAnsi="仿宋" w:eastAsia="仿宋"/>
                <w:bCs/>
                <w:kern w:val="0"/>
                <w:sz w:val="22"/>
                <w:lang w:val="en-SG"/>
              </w:rPr>
              <w:t>(</w:t>
            </w:r>
            <w:r>
              <w:rPr>
                <w:rFonts w:hint="eastAsia" w:ascii="仿宋" w:hAnsi="仿宋" w:eastAsia="仿宋"/>
                <w:bCs/>
                <w:kern w:val="0"/>
                <w:sz w:val="22"/>
                <w:lang w:val="en-SG"/>
              </w:rPr>
              <w:t>延迟在</w:t>
            </w:r>
            <w:r>
              <w:rPr>
                <w:rFonts w:ascii="仿宋" w:hAnsi="仿宋" w:eastAsia="仿宋"/>
                <w:bCs/>
                <w:kern w:val="0"/>
                <w:sz w:val="22"/>
                <w:lang w:val="en-SG"/>
              </w:rPr>
              <w:t>1ms</w:t>
            </w:r>
            <w:r>
              <w:rPr>
                <w:rFonts w:hint="eastAsia" w:ascii="仿宋" w:hAnsi="仿宋" w:eastAsia="仿宋"/>
                <w:bCs/>
                <w:kern w:val="0"/>
                <w:sz w:val="22"/>
                <w:lang w:val="en-SG"/>
              </w:rPr>
              <w:t>以内</w:t>
            </w:r>
            <w:r>
              <w:rPr>
                <w:rFonts w:ascii="仿宋" w:hAnsi="仿宋" w:eastAsia="仿宋"/>
                <w:bCs/>
                <w:kern w:val="0"/>
                <w:sz w:val="22"/>
                <w:lang w:val="en-SG"/>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仿宋" w:hAnsi="仿宋" w:eastAsia="仿宋"/>
                <w:bCs/>
                <w:kern w:val="0"/>
                <w:sz w:val="22"/>
              </w:rPr>
            </w:pPr>
            <w:r>
              <w:rPr>
                <w:rFonts w:hint="eastAsia" w:ascii="仿宋" w:hAnsi="仿宋" w:eastAsia="仿宋"/>
                <w:bCs/>
                <w:kern w:val="0"/>
                <w:sz w:val="22"/>
              </w:rPr>
              <w:t>18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220" w:firstLineChars="100"/>
              <w:jc w:val="left"/>
              <w:textAlignment w:val="center"/>
              <w:rPr>
                <w:rFonts w:ascii="仿宋" w:hAnsi="仿宋" w:eastAsia="仿宋"/>
                <w:bCs/>
                <w:kern w:val="0"/>
                <w:sz w:val="22"/>
              </w:rPr>
            </w:pPr>
            <w:r>
              <w:rPr>
                <w:rFonts w:hint="eastAsia" w:ascii="仿宋" w:hAnsi="仿宋" w:eastAsia="仿宋"/>
                <w:bCs/>
                <w:kern w:val="0"/>
                <w:sz w:val="22"/>
              </w:rPr>
              <w:t>软件功能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仿宋" w:hAnsi="仿宋" w:eastAsia="仿宋"/>
                <w:bCs/>
                <w:kern w:val="0"/>
                <w:sz w:val="22"/>
                <w:lang w:val="en-SG"/>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pStyle w:val="12"/>
              <w:ind w:firstLine="220" w:firstLineChars="100"/>
              <w:rPr>
                <w:rFonts w:ascii="仿宋" w:hAnsi="仿宋" w:eastAsia="仿宋"/>
                <w:bCs/>
                <w:kern w:val="0"/>
                <w:sz w:val="22"/>
                <w:lang w:val="en-SG"/>
              </w:rPr>
            </w:pPr>
            <w:r>
              <w:rPr>
                <w:rFonts w:hint="eastAsia" w:ascii="仿宋" w:hAnsi="仿宋" w:eastAsia="仿宋"/>
                <w:bCs/>
                <w:kern w:val="0"/>
                <w:sz w:val="22"/>
                <w:lang w:val="en-SG"/>
              </w:rPr>
              <w:t>32 个通道的脑区脑电信号和脑血氧信号检测、脑血氧检测和脑电检测可单独或同步检测脑氧检测中近红外发射光功率和增益放大倍数连续可调；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sz w:val="20"/>
              </w:rPr>
              <w:t>技术白皮书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配置要求1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cs="黑体"/>
                <w:sz w:val="20"/>
              </w:rPr>
            </w:pPr>
            <w:r>
              <w:rPr>
                <w:rFonts w:hint="eastAsia" w:ascii="黑体" w:hAnsi="宋体" w:eastAsia="黑体" w:cs="黑体"/>
                <w:sz w:val="20"/>
              </w:rPr>
              <w:t>主机1台、信号同步线1根、接收光纤32根、发射光纤32根、电极线32根、检测</w:t>
            </w:r>
            <w:r>
              <w:rPr>
                <w:rFonts w:hint="eastAsia"/>
                <w:color w:val="000000"/>
                <w:kern w:val="0"/>
                <w:sz w:val="22"/>
                <w:szCs w:val="22"/>
              </w:rPr>
              <w:t>头盔3顶、电源线1根</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配置要求2</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sz w:val="20"/>
              </w:rPr>
              <w:t>分析软件1套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21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 xml:space="preserve"> 验收标准方法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lang w:bidi="ar"/>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经济要求</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lang w:bidi="ar"/>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lang w:bidi="ar"/>
              </w:rPr>
            </w:pPr>
            <w:r>
              <w:rPr>
                <w:rFonts w:hint="eastAsia" w:ascii="黑体" w:hAnsi="黑体" w:eastAsia="黑体" w:cs="黑体"/>
                <w:sz w:val="20"/>
                <w:lang w:bidi="ar"/>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lang w:bidi="ar"/>
              </w:rPr>
              <w:t>签订合同付（预付）30%，物资到货（服务完成）验收后付</w:t>
            </w:r>
            <w:r>
              <w:rPr>
                <w:rFonts w:ascii="黑体" w:hAnsi="宋体" w:eastAsia="黑体" w:cs="黑体"/>
                <w:kern w:val="0"/>
                <w:sz w:val="20"/>
                <w:lang w:bidi="ar"/>
              </w:rPr>
              <w:t>6</w:t>
            </w:r>
            <w:r>
              <w:rPr>
                <w:rFonts w:hint="eastAsia" w:ascii="黑体" w:hAnsi="宋体" w:eastAsia="黑体" w:cs="黑体"/>
                <w:kern w:val="0"/>
                <w:sz w:val="20"/>
                <w:lang w:bidi="ar"/>
              </w:rPr>
              <w:t>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kern w:val="0"/>
                <w:sz w:val="20"/>
                <w:lang w:bidi="ar"/>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 xml:space="preserve"> 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717"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售后服务1</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lang w:bidi="ar"/>
              </w:rPr>
              <w:t>保修年限不低于2年，全年故障停机时间不高于5%（按365日/年计算)。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原厂授权（企业承诺）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售后服务2</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lang w:bidi="ar"/>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售后服务3</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提供不少于5人次、3天的工程师维修培训。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kern w:val="0"/>
                <w:sz w:val="20"/>
                <w:lang w:bidi="ar"/>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售后服务4</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lang w:bidi="ar"/>
              </w:rPr>
              <w:t>维修响应时间≤12小时，维修到达现场时间≤48小时。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备品备件要求（零配件）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kern w:val="0"/>
                <w:sz w:val="20"/>
                <w:lang w:bidi="ar"/>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专用工具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描述应提供的配套专修工具和使用工具。</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kern w:val="0"/>
                <w:sz w:val="20"/>
                <w:lang w:bidi="ar"/>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知识产权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sz w:val="20"/>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1</w:t>
            </w:r>
            <w:r>
              <w:rPr>
                <w:rFonts w:ascii="黑体" w:hAnsi="黑体" w:eastAsia="黑体" w:cs="黑体"/>
                <w:kern w:val="0"/>
                <w:sz w:val="20"/>
                <w:lang w:bidi="ar"/>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lang w:bidi="ar"/>
              </w:rPr>
            </w:pPr>
            <w:r>
              <w:rPr>
                <w:rFonts w:hint="eastAsia" w:ascii="黑体" w:hAnsi="宋体" w:eastAsia="黑体" w:cs="黑体"/>
                <w:kern w:val="0"/>
                <w:sz w:val="20"/>
                <w:lang w:bidi="ar"/>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FF0000"/>
                <w:kern w:val="0"/>
                <w:sz w:val="20"/>
                <w:lang w:bidi="ar"/>
              </w:rPr>
            </w:pPr>
            <w:r>
              <w:rPr>
                <w:rFonts w:hint="eastAsia" w:ascii="黑体" w:hAnsi="宋体" w:eastAsia="黑体" w:cs="黑体"/>
                <w:color w:val="FF000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采购实施建议</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采购方式</w:t>
            </w:r>
          </w:p>
        </w:tc>
        <w:tc>
          <w:tcPr>
            <w:tcW w:w="7170"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 xml:space="preserve">√公开招标    □邀请招标    </w:t>
            </w:r>
            <w:r>
              <w:rPr>
                <w:rFonts w:hint="eastAsia" w:ascii="黑体" w:hAnsi="宋体" w:eastAsia="黑体" w:cs="黑体"/>
                <w:kern w:val="0"/>
                <w:sz w:val="20"/>
                <w:lang w:bidi="ar"/>
              </w:rPr>
              <w:sym w:font="Wingdings 2" w:char="0052"/>
            </w:r>
            <w:r>
              <w:rPr>
                <w:rFonts w:hint="eastAsia" w:ascii="黑体" w:hAnsi="宋体" w:eastAsia="黑体" w:cs="黑体"/>
                <w:kern w:val="0"/>
                <w:sz w:val="20"/>
                <w:lang w:bidi="ar"/>
              </w:rPr>
              <w:t>竞争性谈判    □单一来源     □询价</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2</w:t>
            </w:r>
          </w:p>
        </w:tc>
        <w:tc>
          <w:tcPr>
            <w:tcW w:w="1389"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评审方法</w:t>
            </w:r>
          </w:p>
        </w:tc>
        <w:tc>
          <w:tcPr>
            <w:tcW w:w="7170" w:type="dxa"/>
            <w:gridSpan w:val="7"/>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√综合评分法      □质量优先法      □经评审的最低价法</w:t>
            </w:r>
          </w:p>
        </w:tc>
      </w:tr>
      <w:tr>
        <w:tblPrEx>
          <w:tblCellMar>
            <w:top w:w="0" w:type="dxa"/>
            <w:left w:w="108" w:type="dxa"/>
            <w:bottom w:w="0" w:type="dxa"/>
            <w:right w:w="108" w:type="dxa"/>
          </w:tblCellMar>
        </w:tblPrEx>
        <w:trPr>
          <w:trHeight w:val="499" w:hRule="atLeast"/>
        </w:trPr>
        <w:tc>
          <w:tcPr>
            <w:tcW w:w="5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技术偏离要求</w:t>
            </w:r>
          </w:p>
        </w:tc>
        <w:tc>
          <w:tcPr>
            <w:tcW w:w="717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lang w:bidi="ar"/>
              </w:rPr>
            </w:pPr>
            <w:r>
              <w:rPr>
                <w:rFonts w:hint="eastAsia" w:ascii="黑体" w:hAnsi="黑体" w:eastAsia="黑体" w:cs="黑体"/>
                <w:kern w:val="0"/>
                <w:sz w:val="20"/>
                <w:lang w:bidi="ar"/>
              </w:rPr>
              <w:t>▲标识的指标负偏离≥2项，投标企业技术分值为0分</w:t>
            </w:r>
          </w:p>
          <w:p>
            <w:pPr>
              <w:widowControl/>
              <w:spacing w:line="240" w:lineRule="exact"/>
              <w:jc w:val="left"/>
              <w:rPr>
                <w:rFonts w:ascii="黑体" w:hAnsi="黑体" w:eastAsia="黑体" w:cs="黑体"/>
                <w:kern w:val="0"/>
                <w:sz w:val="20"/>
                <w:lang w:bidi="ar"/>
              </w:rPr>
            </w:pPr>
            <w:r>
              <w:rPr>
                <w:rFonts w:hint="eastAsia" w:ascii="黑体" w:hAnsi="黑体" w:eastAsia="黑体" w:cs="黑体"/>
                <w:kern w:val="0"/>
                <w:sz w:val="20"/>
                <w:lang w:bidi="ar"/>
              </w:rPr>
              <w:t>▲标识的指标和“无标识”指标负偏离≥4项，投标企业技术分值为0分</w:t>
            </w:r>
          </w:p>
        </w:tc>
      </w:tr>
      <w:tr>
        <w:tblPrEx>
          <w:tblCellMar>
            <w:top w:w="0" w:type="dxa"/>
            <w:left w:w="108" w:type="dxa"/>
            <w:bottom w:w="0" w:type="dxa"/>
            <w:right w:w="108" w:type="dxa"/>
          </w:tblCellMar>
        </w:tblPrEx>
        <w:trPr>
          <w:trHeight w:val="3750" w:hRule="atLeast"/>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bidi="ar"/>
              </w:rPr>
              <w:t>注：</w:t>
            </w:r>
          </w:p>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bidi="ar"/>
              </w:rPr>
              <w:t>1.★指标为必须响应指标，任意一项不满足要求即做废标处理；</w:t>
            </w:r>
          </w:p>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val="en-US" w:eastAsia="zh-CN" w:bidi="ar"/>
              </w:rPr>
              <w:t>2</w:t>
            </w:r>
            <w:r>
              <w:rPr>
                <w:rFonts w:hint="eastAsia" w:ascii="宋体" w:hAnsi="宋体" w:cs="宋体"/>
                <w:kern w:val="0"/>
                <w:sz w:val="18"/>
                <w:szCs w:val="18"/>
                <w:lang w:bidi="ar"/>
              </w:rPr>
              <w:t>.★及▲标识的指标，采购单位要逐条明确证明材料，无法明确的默认由企业提供承诺；</w:t>
            </w:r>
          </w:p>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val="en-US" w:eastAsia="zh-CN" w:bidi="ar"/>
              </w:rPr>
              <w:t>3</w:t>
            </w:r>
            <w:r>
              <w:rPr>
                <w:rFonts w:hint="eastAsia" w:ascii="宋体" w:hAnsi="宋体" w:cs="宋体"/>
                <w:kern w:val="0"/>
                <w:sz w:val="18"/>
                <w:szCs w:val="18"/>
                <w:lang w:bidi="ar"/>
              </w:rPr>
              <w:t>.经济要求不接受企业负偏离；</w:t>
            </w:r>
          </w:p>
        </w:tc>
      </w:tr>
    </w:tbl>
    <w:p>
      <w:pPr>
        <w:pStyle w:val="10"/>
        <w:rPr>
          <w:rFonts w:hint="default" w:ascii="方正小标宋简体" w:hAnsi="方正小标宋简体" w:eastAsia="方正小标宋简体" w:cs="方正小标宋简体"/>
          <w:sz w:val="2"/>
          <w:szCs w:val="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4MjhhMTk5NzFiMzNkMzgzZmYwMDUzMmUxMjgwYjYifQ=="/>
  </w:docVars>
  <w:rsids>
    <w:rsidRoot w:val="00862B2D"/>
    <w:rsid w:val="003E7316"/>
    <w:rsid w:val="004A1C4C"/>
    <w:rsid w:val="005932F8"/>
    <w:rsid w:val="005C72B7"/>
    <w:rsid w:val="00725B0B"/>
    <w:rsid w:val="00747516"/>
    <w:rsid w:val="00862B2D"/>
    <w:rsid w:val="00890C31"/>
    <w:rsid w:val="00A74B06"/>
    <w:rsid w:val="00B951DD"/>
    <w:rsid w:val="00D63838"/>
    <w:rsid w:val="00F019B3"/>
    <w:rsid w:val="05623E36"/>
    <w:rsid w:val="07766E2B"/>
    <w:rsid w:val="0DF615FA"/>
    <w:rsid w:val="12D4026E"/>
    <w:rsid w:val="1D282590"/>
    <w:rsid w:val="32245E49"/>
    <w:rsid w:val="35E6775C"/>
    <w:rsid w:val="3AFC6957"/>
    <w:rsid w:val="44054214"/>
    <w:rsid w:val="4B342D2E"/>
    <w:rsid w:val="6776498E"/>
    <w:rsid w:val="686F6AD4"/>
    <w:rsid w:val="740E0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rPr>
      <w:rFonts w:ascii="Times New Roman"/>
    </w:rPr>
  </w:style>
  <w:style w:type="paragraph" w:styleId="3">
    <w:name w:val="Body Text Indent"/>
    <w:basedOn w:val="1"/>
    <w:qFormat/>
    <w:uiPriority w:val="0"/>
    <w:pPr>
      <w:spacing w:line="400" w:lineRule="exact"/>
      <w:ind w:firstLine="600" w:firstLineChars="200"/>
    </w:pPr>
    <w:rPr>
      <w:rFonts w:ascii="仿宋_GB2312" w:eastAsia="仿宋_GB2312"/>
      <w:sz w:val="30"/>
    </w:rPr>
  </w:style>
  <w:style w:type="paragraph" w:styleId="4">
    <w:name w:val="annotation text"/>
    <w:basedOn w:val="1"/>
    <w:qFormat/>
    <w:uiPriority w:val="0"/>
    <w:pPr>
      <w:jc w:val="left"/>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qFormat/>
    <w:uiPriority w:val="0"/>
    <w:rPr>
      <w:sz w:val="21"/>
      <w:szCs w:val="21"/>
    </w:rPr>
  </w:style>
  <w:style w:type="paragraph" w:customStyle="1" w:styleId="10">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11">
    <w:name w:val="font111"/>
    <w:basedOn w:val="8"/>
    <w:qFormat/>
    <w:uiPriority w:val="0"/>
    <w:rPr>
      <w:rFonts w:hint="eastAsia" w:ascii="黑体" w:hAnsi="宋体" w:eastAsia="黑体" w:cs="黑体"/>
      <w:i/>
      <w:iCs/>
      <w:color w:val="000000"/>
      <w:sz w:val="20"/>
      <w:szCs w:val="20"/>
      <w:u w:val="none"/>
    </w:rPr>
  </w:style>
  <w:style w:type="paragraph" w:styleId="12">
    <w:name w:val="List Paragraph"/>
    <w:basedOn w:val="1"/>
    <w:qFormat/>
    <w:uiPriority w:val="99"/>
    <w:pPr>
      <w:ind w:firstLine="420"/>
    </w:pPr>
  </w:style>
  <w:style w:type="character" w:customStyle="1" w:styleId="13">
    <w:name w:val="页眉 字符"/>
    <w:basedOn w:val="8"/>
    <w:link w:val="6"/>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1275</Characters>
  <Lines>212</Lines>
  <Paragraphs>275</Paragraphs>
  <TotalTime>4</TotalTime>
  <ScaleCrop>false</ScaleCrop>
  <LinksUpToDate>false</LinksUpToDate>
  <CharactersWithSpaces>2202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2024-05-30T06:48:00Z</dcterms:created>
  <dc:creator>DOCTOR</dc:creator>
  <cp:lastModifiedBy>DOCTOR</cp:lastModifiedBy>
  <dcterms:modified xsi:type="dcterms:W3CDTF">2024-09-04T02:48:34Z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239002B093374618B5BBA970755D00BD_12</vt:lpwstr>
  </property>
  <property fmtid="{D5CDD505-2E9C-101B-9397-08002B2CF9AE}" pid="4" name="GrammarlyDocumentId">
    <vt:lpwstr>1cf271b7c69c84423fc7a45ca9974173de77eecd900ff37bbca607f3f1478d84</vt:lpwstr>
  </property>
</Properties>
</file>