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szCs w:val="44"/>
          <w:lang w:val="zh-CN"/>
        </w:rPr>
      </w:pPr>
      <w:bookmarkStart w:id="0" w:name="_Toc32050"/>
      <w:bookmarkStart w:id="1" w:name="_Toc132186973"/>
      <w:bookmarkStart w:id="2" w:name="_Toc130888005"/>
      <w:bookmarkStart w:id="3" w:name="_Toc132191257"/>
      <w:bookmarkStart w:id="4" w:name="_Toc128470293"/>
      <w:bookmarkStart w:id="5" w:name="_Toc128154366"/>
      <w:bookmarkStart w:id="6" w:name="_Toc21632"/>
      <w:bookmarkStart w:id="7" w:name="_Toc112317781"/>
      <w:bookmarkStart w:id="8" w:name="_Toc9692"/>
      <w:bookmarkStart w:id="9" w:name="_Toc112768491"/>
      <w:bookmarkStart w:id="10" w:name="_Toc30564"/>
      <w:bookmarkStart w:id="11" w:name="_Toc130661176"/>
      <w:bookmarkStart w:id="12" w:name="_Toc28545"/>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pStyle w:val="113"/>
        <w:spacing w:line="560" w:lineRule="exact"/>
        <w:ind w:firstLine="560"/>
        <w:rPr>
          <w:rFonts w:hint="eastAsia" w:ascii="黑体" w:hAnsi="黑体" w:cs="黑体"/>
          <w:b w:val="0"/>
          <w:sz w:val="28"/>
          <w:szCs w:val="28"/>
          <w:highlight w:val="none"/>
        </w:rPr>
      </w:pPr>
      <w:r>
        <w:rPr>
          <w:rFonts w:hint="eastAsia" w:ascii="黑体" w:hAnsi="黑体" w:cs="黑体"/>
          <w:b w:val="0"/>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pStyle w:val="113"/>
        <w:spacing w:line="560" w:lineRule="exact"/>
        <w:ind w:firstLine="560"/>
        <w:rPr>
          <w:rFonts w:hAnsi="宋体"/>
          <w:bCs/>
          <w:sz w:val="28"/>
          <w:szCs w:val="28"/>
          <w:highlight w:val="none"/>
        </w:rPr>
      </w:pPr>
      <w:r>
        <w:rPr>
          <w:rFonts w:hint="eastAsia" w:ascii="黑体" w:hAnsi="黑体" w:cs="黑体"/>
          <w:b w:val="0"/>
          <w:sz w:val="28"/>
          <w:szCs w:val="28"/>
          <w:highlight w:val="none"/>
        </w:rPr>
        <w:t>★及▲标识的指标，采购单位要逐条明确证明材料，无法明确的默认由企业提供承诺</w:t>
      </w:r>
    </w:p>
    <w:p>
      <w:pPr>
        <w:pStyle w:val="49"/>
      </w:pPr>
    </w:p>
    <w:tbl>
      <w:tblPr>
        <w:tblStyle w:val="41"/>
        <w:tblW w:w="95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9"/>
        <w:gridCol w:w="1031"/>
        <w:gridCol w:w="517"/>
        <w:gridCol w:w="4888"/>
        <w:gridCol w:w="712"/>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20"/>
                <w:szCs w:val="20"/>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16"/>
                <w:szCs w:val="16"/>
                <w:u w:val="none"/>
                <w:lang w:val="en-US" w:eastAsia="zh-CN" w:bidi="ar"/>
              </w:rPr>
              <w:t>参数性质</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20"/>
                <w:szCs w:val="20"/>
                <w:u w:val="none"/>
                <w:lang w:val="en-US" w:eastAsia="zh-CN" w:bidi="ar"/>
              </w:rPr>
              <w:t>需求具体内容</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16"/>
                <w:szCs w:val="16"/>
                <w:u w:val="none"/>
                <w:lang w:val="en-US" w:eastAsia="zh-CN" w:bidi="ar"/>
              </w:rPr>
              <w:t>是否量化</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可对目标冠脉影像进行血管的快速三维重建，提供目标血管尺寸与狭窄程度的定量评估，并得到目标血管及每个位置对应的定量血流分数数值，同时可以提供病变段血管尺寸信息</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标准规范（1）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具备NMPA(CFDA)认证</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标准规范（2）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具备CE认证</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血管功能学计算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具有基于光学相干断层成像系统影像对目标冠状动脉进行血管定量血流分数计算的功能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功能学诊断准确度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以基于压力导丝FFR为参考，对于血流限制性病变的诊断准确度≥92%，（以发表在影响因子≥5分的期刊临床研究文献为准）</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斑块定性分析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可自动进行斑块性质识别，准确度≥88%</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斑块定量分析功能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高危斑块识别功能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具有可计算LCR（脂质纤维帽比值）的功能，辅助术者对斑块稳定性进行判断，制定精准诊疗策略</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子病变定量分析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具有全血管段子病变自动定量分析计算的功能，供术者在支架植入前对支架治疗后血管定量血流分数改善情况进行预判</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边支血管检测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具有自动检测及定量分析冠状动脉边支血管开口和面积的功能，并支持在3D光学相干断层成像系统图像上显示边支血管的三维开口方向</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血运重建评估功能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具有虚拟支架功能，即术前通过残余定量分析值预测靶病变完全血运重建术后定量分析值</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管腔分割功能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具有自动提取及分割管腔内膜和中膜的功能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病变测量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具有对病变位置、长度、直径、面积等病变解剖参数进行自动定量分析的功能，也可手动测量图像中长度、角度、面积等参数</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三维重建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具有基于光学相干断层成像系统图像完成血管3D管腔重建、3D支架重建、冠脉自动3D管腔渲染的功能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支架检测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具有对支架进行自动识别分割的功能，并完成自动定量，辅助评估支架贴壁情况</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影像数据通讯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支持与光学相干断层成像系统的供用商的DICOM影像的连接和数据传输，支持DICOM图像接收、查询、获取和传送</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图像调整功能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具有对DICOM格式数据进行窗宽窗位、对比度调整、图像放大和图像缩小的功能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图像区间播放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具有支持光学相干断层成像系统图像的loop view区间播放功能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数据报告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具有对以下冠状动脉结构参数进行定量分析并自动生成的结构化报告的功能：全血管（冠脉远端）定量分析值、病变定量分析、索引定量分析（血管任意一点的定量分析值）等</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报告导出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分析报告可导出为PDF格式文件，支架分析数据可导出为.xml格式，斑块分析数据可导出为.xml格式或.stl格式</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报警及安全指标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设备具有指标异常提示功能</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配套耗材</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（试剂）要求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无需额外使用任何压力传感器等耗材测量血压、动脉压、血管内压力或主动脉压等参数</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冠状动脉OCT定量血流分数计算软件工作站一套（含主机一台，显示屏1台，鼠标1个，键盘1个，专用软件一套等其他附件）</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rPr>
            </w:pPr>
            <w:r>
              <w:rPr>
                <w:rFonts w:hint="eastAsia"/>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合同签订后，货物验收合格后6个月内结清全部货款</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在结清货款前，中标供应商根据医院合同执行部门出具的质保金缴纳凭证，向医院财务部门交纳合同总金额5%作为质量保证金，质保期满后无息退还质量保证金</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保修年限不低于3年，全年故障停机时间不高于5%（按365日/年计算)。</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原厂授权</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保修期内免费提供定期设备维护保养服务，免费升级和维护软件，免费提供使用培训；保修期外，原软件维护仅收工时费。</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提供不少于3人次、1天的工程师维修培训。</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维修响应时间≤0.5个工作日（京内）</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维修到达现场时间≤3个工作日（京外）</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备品备件要求（零配件）</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both"/>
              <w:rPr>
                <w:rFonts w:hint="eastAsia"/>
                <w:lang w:val="en-US" w:eastAsia="zh-CN"/>
              </w:rPr>
            </w:pPr>
            <w:r>
              <w:rPr>
                <w:rFonts w:hint="eastAsia"/>
                <w:lang w:val="en-US" w:eastAsia="zh-CN"/>
              </w:rPr>
              <w:t>★标识的指标负偏离≥</w:t>
            </w:r>
            <w:r>
              <w:rPr>
                <w:rFonts w:hint="default"/>
                <w:lang w:val="en-US" w:eastAsia="zh-CN"/>
              </w:rPr>
              <w:t>1</w:t>
            </w:r>
            <w:r>
              <w:rPr>
                <w:rFonts w:hint="eastAsia"/>
                <w:lang w:val="en-US" w:eastAsia="zh-CN"/>
              </w:rPr>
              <w:t>项，投标企业按无效报价处理</w:t>
            </w:r>
          </w:p>
          <w:p>
            <w:pPr>
              <w:pStyle w:val="49"/>
              <w:jc w:val="both"/>
              <w:rPr>
                <w:rFonts w:hint="eastAsia"/>
                <w:lang w:val="en-US" w:eastAsia="zh-CN"/>
              </w:rPr>
            </w:pPr>
            <w:r>
              <w:rPr>
                <w:rFonts w:hint="eastAsia"/>
                <w:lang w:val="en-US" w:eastAsia="zh-CN"/>
              </w:rPr>
              <w:t>▲标识的指标负偏离≥</w:t>
            </w:r>
            <w:r>
              <w:rPr>
                <w:rFonts w:hint="default"/>
                <w:lang w:val="en-US" w:eastAsia="zh-CN"/>
              </w:rPr>
              <w:t>4</w:t>
            </w:r>
            <w:r>
              <w:rPr>
                <w:rFonts w:hint="eastAsia"/>
                <w:lang w:val="en-US" w:eastAsia="zh-CN"/>
              </w:rPr>
              <w:t>项，投标企业技术分值为0分</w:t>
            </w:r>
          </w:p>
          <w:p>
            <w:pPr>
              <w:pStyle w:val="49"/>
              <w:jc w:val="both"/>
              <w:rPr>
                <w:rFonts w:hint="eastAsia"/>
                <w:lang w:val="en-US" w:eastAsia="zh-CN"/>
              </w:rPr>
            </w:pPr>
            <w:r>
              <w:rPr>
                <w:rFonts w:hint="eastAsia"/>
                <w:lang w:val="en-US" w:eastAsia="zh-CN"/>
              </w:rPr>
              <w:t>▲标识的指标和“无标识”指标负偏离≥</w:t>
            </w:r>
            <w:r>
              <w:rPr>
                <w:rFonts w:hint="default"/>
                <w:lang w:val="en-US" w:eastAsia="zh-CN"/>
              </w:rPr>
              <w:t>6</w:t>
            </w:r>
            <w:r>
              <w:rPr>
                <w:rFonts w:hint="eastAsia"/>
                <w:lang w:val="en-US" w:eastAsia="zh-CN"/>
              </w:rPr>
              <w:t>项，投标企业技术分值为0分</w:t>
            </w:r>
          </w:p>
        </w:tc>
      </w:tr>
    </w:tbl>
    <w:p>
      <w:pPr>
        <w:pStyle w:val="49"/>
      </w:pPr>
      <w:bookmarkStart w:id="13" w:name="_GoBack"/>
      <w:bookmarkEnd w:id="13"/>
    </w:p>
    <w:sectPr>
      <w:headerReference r:id="rId3" w:type="default"/>
      <w:footerReference r:id="rId4"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6"/>
                      <w:jc w:val="center"/>
                    </w:pPr>
                  </w:p>
                  <w:p>
                    <w:pPr>
                      <w:pStyle w:val="2"/>
                    </w:pPr>
                  </w:p>
                </w:txbxContent>
              </v:textbox>
            </v:shape>
          </w:pict>
        </mc:Fallback>
      </mc:AlternateContent>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rFonts w:hint="eastAsia" w:ascii="方正小标宋简体" w:hAnsi="Times New Roman" w:eastAsia="方正小标宋简体" w:cs="Times New Roman"/>
        <w:color w:val="auto"/>
        <w:kern w:val="2"/>
        <w:sz w:val="18"/>
        <w:szCs w:val="18"/>
        <w:highlight w:val="none"/>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533"/>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295921"/>
    <w:rsid w:val="0233386D"/>
    <w:rsid w:val="03341722"/>
    <w:rsid w:val="039A4DF7"/>
    <w:rsid w:val="043D4889"/>
    <w:rsid w:val="04504BAA"/>
    <w:rsid w:val="046E1FF1"/>
    <w:rsid w:val="04A465CA"/>
    <w:rsid w:val="052971A9"/>
    <w:rsid w:val="05A625A8"/>
    <w:rsid w:val="05AF3B52"/>
    <w:rsid w:val="05F23A3F"/>
    <w:rsid w:val="062E0F1B"/>
    <w:rsid w:val="068A7901"/>
    <w:rsid w:val="068B011B"/>
    <w:rsid w:val="06E50223"/>
    <w:rsid w:val="0701218C"/>
    <w:rsid w:val="07251018"/>
    <w:rsid w:val="08000695"/>
    <w:rsid w:val="08271474"/>
    <w:rsid w:val="0885061F"/>
    <w:rsid w:val="093E2FA0"/>
    <w:rsid w:val="094A525A"/>
    <w:rsid w:val="09673E3C"/>
    <w:rsid w:val="0A8F788E"/>
    <w:rsid w:val="0AAE4A96"/>
    <w:rsid w:val="0B480C93"/>
    <w:rsid w:val="0BDD0AD5"/>
    <w:rsid w:val="0BE43EE4"/>
    <w:rsid w:val="0BFE1539"/>
    <w:rsid w:val="0C3628D7"/>
    <w:rsid w:val="0D386468"/>
    <w:rsid w:val="0D514319"/>
    <w:rsid w:val="0D6E6CE6"/>
    <w:rsid w:val="0E06452B"/>
    <w:rsid w:val="0E6F3E7F"/>
    <w:rsid w:val="0E87566C"/>
    <w:rsid w:val="0EE76E01"/>
    <w:rsid w:val="0F16079E"/>
    <w:rsid w:val="0FF10C12"/>
    <w:rsid w:val="10230F9F"/>
    <w:rsid w:val="111B15B3"/>
    <w:rsid w:val="114A24F7"/>
    <w:rsid w:val="11FF551A"/>
    <w:rsid w:val="12004308"/>
    <w:rsid w:val="12187FE5"/>
    <w:rsid w:val="125A3535"/>
    <w:rsid w:val="12A52565"/>
    <w:rsid w:val="12CC61CB"/>
    <w:rsid w:val="12F2507E"/>
    <w:rsid w:val="13CF39F0"/>
    <w:rsid w:val="152534E9"/>
    <w:rsid w:val="152545C7"/>
    <w:rsid w:val="15EB3F8E"/>
    <w:rsid w:val="1649397E"/>
    <w:rsid w:val="17672C8D"/>
    <w:rsid w:val="18433A70"/>
    <w:rsid w:val="18695DE3"/>
    <w:rsid w:val="18781334"/>
    <w:rsid w:val="195F062F"/>
    <w:rsid w:val="1A932AD1"/>
    <w:rsid w:val="1ABF7F3C"/>
    <w:rsid w:val="1ADF74F2"/>
    <w:rsid w:val="1C653CD0"/>
    <w:rsid w:val="1D0E6F59"/>
    <w:rsid w:val="1DA85478"/>
    <w:rsid w:val="1DD3548B"/>
    <w:rsid w:val="1DED21D8"/>
    <w:rsid w:val="1E7D6794"/>
    <w:rsid w:val="1E985C85"/>
    <w:rsid w:val="1F0E3DA5"/>
    <w:rsid w:val="1F4828FC"/>
    <w:rsid w:val="1F670DD3"/>
    <w:rsid w:val="1F7F74E9"/>
    <w:rsid w:val="1FB2006F"/>
    <w:rsid w:val="20CE49AC"/>
    <w:rsid w:val="217F21D3"/>
    <w:rsid w:val="21C61BB0"/>
    <w:rsid w:val="21ED35E0"/>
    <w:rsid w:val="22C35EAF"/>
    <w:rsid w:val="22F75C0D"/>
    <w:rsid w:val="230C5CE8"/>
    <w:rsid w:val="231B125D"/>
    <w:rsid w:val="2432177F"/>
    <w:rsid w:val="245060A9"/>
    <w:rsid w:val="24812C77"/>
    <w:rsid w:val="24C20D54"/>
    <w:rsid w:val="25114177"/>
    <w:rsid w:val="25C96113"/>
    <w:rsid w:val="26CC5F32"/>
    <w:rsid w:val="271D5F0A"/>
    <w:rsid w:val="276C144B"/>
    <w:rsid w:val="27F706CD"/>
    <w:rsid w:val="287D3B77"/>
    <w:rsid w:val="288255A7"/>
    <w:rsid w:val="290F7096"/>
    <w:rsid w:val="292635DD"/>
    <w:rsid w:val="29AB7A16"/>
    <w:rsid w:val="2A1738F0"/>
    <w:rsid w:val="2AA74552"/>
    <w:rsid w:val="2B0F6376"/>
    <w:rsid w:val="2B1A7EED"/>
    <w:rsid w:val="2BAA0794"/>
    <w:rsid w:val="2BD6671E"/>
    <w:rsid w:val="2BF06B1D"/>
    <w:rsid w:val="2C215763"/>
    <w:rsid w:val="2DBF321D"/>
    <w:rsid w:val="2DCF44E2"/>
    <w:rsid w:val="2E1B296B"/>
    <w:rsid w:val="2E262354"/>
    <w:rsid w:val="2E486C08"/>
    <w:rsid w:val="2E552C39"/>
    <w:rsid w:val="2E7532DC"/>
    <w:rsid w:val="2F3454AC"/>
    <w:rsid w:val="2F641874"/>
    <w:rsid w:val="2F894C82"/>
    <w:rsid w:val="30843362"/>
    <w:rsid w:val="31605F1F"/>
    <w:rsid w:val="326276D3"/>
    <w:rsid w:val="32FB40DD"/>
    <w:rsid w:val="332D510B"/>
    <w:rsid w:val="339A10EE"/>
    <w:rsid w:val="33B757FC"/>
    <w:rsid w:val="33B83430"/>
    <w:rsid w:val="3437693D"/>
    <w:rsid w:val="355B5E11"/>
    <w:rsid w:val="35C91DF7"/>
    <w:rsid w:val="36623A07"/>
    <w:rsid w:val="3699568D"/>
    <w:rsid w:val="36CA5847"/>
    <w:rsid w:val="37124D99"/>
    <w:rsid w:val="37141D64"/>
    <w:rsid w:val="371F2036"/>
    <w:rsid w:val="38A7470F"/>
    <w:rsid w:val="38C26B8B"/>
    <w:rsid w:val="39CD68B5"/>
    <w:rsid w:val="3A7E52C6"/>
    <w:rsid w:val="3AA6016F"/>
    <w:rsid w:val="3AAB4BE5"/>
    <w:rsid w:val="3AF236EA"/>
    <w:rsid w:val="3B273268"/>
    <w:rsid w:val="3B4C648E"/>
    <w:rsid w:val="3B626996"/>
    <w:rsid w:val="3B787F67"/>
    <w:rsid w:val="3D021442"/>
    <w:rsid w:val="3D116E5B"/>
    <w:rsid w:val="3D3B749E"/>
    <w:rsid w:val="3DB03FCF"/>
    <w:rsid w:val="3DFC38D5"/>
    <w:rsid w:val="3E442382"/>
    <w:rsid w:val="3FC362F5"/>
    <w:rsid w:val="40BE1D68"/>
    <w:rsid w:val="417C1216"/>
    <w:rsid w:val="41970A1B"/>
    <w:rsid w:val="41A5138A"/>
    <w:rsid w:val="41D775CC"/>
    <w:rsid w:val="423B7BF3"/>
    <w:rsid w:val="42B86E9B"/>
    <w:rsid w:val="431762B8"/>
    <w:rsid w:val="43E527AD"/>
    <w:rsid w:val="4420585E"/>
    <w:rsid w:val="4427077C"/>
    <w:rsid w:val="448252F0"/>
    <w:rsid w:val="44C837A2"/>
    <w:rsid w:val="45903CAA"/>
    <w:rsid w:val="465E3F31"/>
    <w:rsid w:val="47666DB1"/>
    <w:rsid w:val="4771001F"/>
    <w:rsid w:val="47A65E5C"/>
    <w:rsid w:val="47C00CCC"/>
    <w:rsid w:val="47D66741"/>
    <w:rsid w:val="48194B54"/>
    <w:rsid w:val="48C60564"/>
    <w:rsid w:val="48DE6C01"/>
    <w:rsid w:val="49042E3A"/>
    <w:rsid w:val="491E6013"/>
    <w:rsid w:val="49494CF1"/>
    <w:rsid w:val="49AD06A6"/>
    <w:rsid w:val="4B0036A5"/>
    <w:rsid w:val="4BD50ABE"/>
    <w:rsid w:val="4C001FDF"/>
    <w:rsid w:val="4CEF0ED4"/>
    <w:rsid w:val="4DBD6AAD"/>
    <w:rsid w:val="4DC42B98"/>
    <w:rsid w:val="4EB94800"/>
    <w:rsid w:val="4F9A62A6"/>
    <w:rsid w:val="503A5BFD"/>
    <w:rsid w:val="50CE5299"/>
    <w:rsid w:val="50F32112"/>
    <w:rsid w:val="514D61C2"/>
    <w:rsid w:val="518A6447"/>
    <w:rsid w:val="52293911"/>
    <w:rsid w:val="522B5E7C"/>
    <w:rsid w:val="523E5075"/>
    <w:rsid w:val="529C4A94"/>
    <w:rsid w:val="531558BC"/>
    <w:rsid w:val="53B74B84"/>
    <w:rsid w:val="53EB539E"/>
    <w:rsid w:val="5422054D"/>
    <w:rsid w:val="54A320E7"/>
    <w:rsid w:val="54D11CCC"/>
    <w:rsid w:val="54E06388"/>
    <w:rsid w:val="550B6A44"/>
    <w:rsid w:val="55120D38"/>
    <w:rsid w:val="56710C02"/>
    <w:rsid w:val="56CE6835"/>
    <w:rsid w:val="572A5C41"/>
    <w:rsid w:val="57580F21"/>
    <w:rsid w:val="580734DB"/>
    <w:rsid w:val="581431CE"/>
    <w:rsid w:val="59B73BAB"/>
    <w:rsid w:val="59C363FA"/>
    <w:rsid w:val="5A113609"/>
    <w:rsid w:val="5A7C13EA"/>
    <w:rsid w:val="5ACA4DFD"/>
    <w:rsid w:val="5B0176E4"/>
    <w:rsid w:val="5B2104E9"/>
    <w:rsid w:val="5B745718"/>
    <w:rsid w:val="5B9A423C"/>
    <w:rsid w:val="5C524FC6"/>
    <w:rsid w:val="5D445AA3"/>
    <w:rsid w:val="5E4A7311"/>
    <w:rsid w:val="5E714676"/>
    <w:rsid w:val="5E9D546B"/>
    <w:rsid w:val="5ED209B4"/>
    <w:rsid w:val="612754C0"/>
    <w:rsid w:val="613A3445"/>
    <w:rsid w:val="615604C0"/>
    <w:rsid w:val="6235591B"/>
    <w:rsid w:val="62B17737"/>
    <w:rsid w:val="63415520"/>
    <w:rsid w:val="63EE6769"/>
    <w:rsid w:val="640F0BB9"/>
    <w:rsid w:val="644F753B"/>
    <w:rsid w:val="64B54B45"/>
    <w:rsid w:val="6562503C"/>
    <w:rsid w:val="661D69BB"/>
    <w:rsid w:val="664D4A08"/>
    <w:rsid w:val="668B537A"/>
    <w:rsid w:val="670F4827"/>
    <w:rsid w:val="67B5251D"/>
    <w:rsid w:val="67C365D4"/>
    <w:rsid w:val="687716F6"/>
    <w:rsid w:val="690D143F"/>
    <w:rsid w:val="69F745C9"/>
    <w:rsid w:val="6A0359B4"/>
    <w:rsid w:val="6A114F5F"/>
    <w:rsid w:val="6A1528A8"/>
    <w:rsid w:val="6A65190A"/>
    <w:rsid w:val="6B25645F"/>
    <w:rsid w:val="6BB30C81"/>
    <w:rsid w:val="6C040369"/>
    <w:rsid w:val="6C8C6991"/>
    <w:rsid w:val="6D6F35A2"/>
    <w:rsid w:val="6DB910A1"/>
    <w:rsid w:val="6F525334"/>
    <w:rsid w:val="70E01533"/>
    <w:rsid w:val="70E114A5"/>
    <w:rsid w:val="714E5FA0"/>
    <w:rsid w:val="71593474"/>
    <w:rsid w:val="71AD627A"/>
    <w:rsid w:val="72843477"/>
    <w:rsid w:val="72B02765"/>
    <w:rsid w:val="756E3C30"/>
    <w:rsid w:val="76796366"/>
    <w:rsid w:val="78ED2F73"/>
    <w:rsid w:val="7A3A36CD"/>
    <w:rsid w:val="7A4153ED"/>
    <w:rsid w:val="7ABD27F2"/>
    <w:rsid w:val="7B7A36AA"/>
    <w:rsid w:val="7BF546E1"/>
    <w:rsid w:val="7C4D62CB"/>
    <w:rsid w:val="7C5424EB"/>
    <w:rsid w:val="7C9132B1"/>
    <w:rsid w:val="7CB17AA9"/>
    <w:rsid w:val="7CB9570E"/>
    <w:rsid w:val="7DBE1B68"/>
    <w:rsid w:val="7E3037AE"/>
    <w:rsid w:val="7F0C2270"/>
    <w:rsid w:val="7F264CBA"/>
    <w:rsid w:val="7F9C0022"/>
    <w:rsid w:val="7FC51BEC"/>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basedOn w:val="43"/>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
      <w:bCs/>
      <w:sz w:val="24"/>
      <w:szCs w:val="20"/>
    </w:rPr>
  </w:style>
  <w:style w:type="character" w:customStyle="1" w:styleId="51">
    <w:name w:val="标题 2 字符1"/>
    <w:basedOn w:val="43"/>
    <w:link w:val="4"/>
    <w:qFormat/>
    <w:uiPriority w:val="0"/>
    <w:rPr>
      <w:rFonts w:ascii="Arial" w:hAnsi="Arial" w:eastAsia="方正小标宋简体" w:cs="Times New Roman"/>
      <w:b/>
      <w:bCs/>
      <w:kern w:val="2"/>
      <w:sz w:val="44"/>
      <w:szCs w:val="32"/>
    </w:rPr>
  </w:style>
  <w:style w:type="character" w:customStyle="1" w:styleId="52">
    <w:name w:val="标题 3 字符"/>
    <w:basedOn w:val="43"/>
    <w:link w:val="5"/>
    <w:qFormat/>
    <w:uiPriority w:val="0"/>
    <w:rPr>
      <w:rFonts w:ascii="Times New Roman" w:hAnsi="Times New Roman" w:eastAsia="黑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semiHidden/>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semiHidden/>
    <w:unhideWhenUsed/>
    <w:qFormat/>
    <w:uiPriority w:val="99"/>
    <w:rPr>
      <w:color w:val="605E5C"/>
      <w:shd w:val="clear" w:color="auto" w:fill="E1DFDD"/>
    </w:rPr>
  </w:style>
  <w:style w:type="character" w:customStyle="1" w:styleId="151">
    <w:name w:val="font71"/>
    <w:basedOn w:val="43"/>
    <w:qFormat/>
    <w:uiPriority w:val="0"/>
    <w:rPr>
      <w:rFonts w:hint="eastAsia" w:ascii="宋体" w:hAnsi="宋体" w:eastAsia="宋体" w:cs="宋体"/>
      <w:color w:val="000000"/>
      <w:sz w:val="24"/>
      <w:szCs w:val="24"/>
      <w:u w:val="none"/>
    </w:rPr>
  </w:style>
  <w:style w:type="character" w:customStyle="1" w:styleId="152">
    <w:name w:val="font81"/>
    <w:basedOn w:val="43"/>
    <w:qFormat/>
    <w:uiPriority w:val="0"/>
    <w:rPr>
      <w:rFonts w:ascii="Wingdings 2" w:hAnsi="Wingdings 2" w:eastAsia="Wingdings 2" w:cs="Wingdings 2"/>
      <w:color w:val="000000"/>
      <w:sz w:val="24"/>
      <w:szCs w:val="24"/>
      <w:u w:val="none"/>
    </w:rPr>
  </w:style>
  <w:style w:type="character" w:customStyle="1" w:styleId="153">
    <w:name w:val="font221"/>
    <w:basedOn w:val="43"/>
    <w:qFormat/>
    <w:uiPriority w:val="0"/>
    <w:rPr>
      <w:rFonts w:ascii="宋体" w:hAnsi="宋体" w:eastAsia="宋体" w:cs="宋体"/>
      <w:color w:val="000000"/>
      <w:sz w:val="22"/>
      <w:szCs w:val="22"/>
      <w:u w:val="none"/>
    </w:rPr>
  </w:style>
  <w:style w:type="character" w:customStyle="1" w:styleId="154">
    <w:name w:val="font131"/>
    <w:basedOn w:val="43"/>
    <w:qFormat/>
    <w:uiPriority w:val="0"/>
    <w:rPr>
      <w:rFonts w:hint="default" w:ascii="Times New Roman" w:hAnsi="Times New Roman" w:cs="Times New Roman"/>
      <w:color w:val="000000"/>
      <w:sz w:val="22"/>
      <w:szCs w:val="22"/>
      <w:u w:val="none"/>
    </w:rPr>
  </w:style>
  <w:style w:type="character" w:customStyle="1" w:styleId="155">
    <w:name w:val="font141"/>
    <w:basedOn w:val="43"/>
    <w:qFormat/>
    <w:uiPriority w:val="0"/>
    <w:rPr>
      <w:rFonts w:hint="eastAsia" w:ascii="宋体" w:hAnsi="宋体" w:eastAsia="宋体" w:cs="宋体"/>
      <w:color w:val="000000"/>
      <w:sz w:val="21"/>
      <w:szCs w:val="21"/>
      <w:u w:val="none"/>
    </w:rPr>
  </w:style>
  <w:style w:type="character" w:customStyle="1" w:styleId="156">
    <w:name w:val="font11"/>
    <w:basedOn w:val="43"/>
    <w:qFormat/>
    <w:uiPriority w:val="0"/>
    <w:rPr>
      <w:rFonts w:hint="default" w:ascii="Times New Roman" w:hAnsi="Times New Roman" w:cs="Times New Roman"/>
      <w:color w:val="000000"/>
      <w:sz w:val="21"/>
      <w:szCs w:val="21"/>
      <w:u w:val="none"/>
    </w:rPr>
  </w:style>
  <w:style w:type="character" w:customStyle="1" w:styleId="157">
    <w:name w:val="font151"/>
    <w:basedOn w:val="43"/>
    <w:qFormat/>
    <w:uiPriority w:val="0"/>
    <w:rPr>
      <w:rFonts w:hint="default" w:ascii="Times New Roman" w:hAnsi="Times New Roman" w:cs="Times New Roman"/>
      <w:color w:val="FF0000"/>
      <w:sz w:val="21"/>
      <w:szCs w:val="21"/>
      <w:u w:val="none"/>
    </w:rPr>
  </w:style>
  <w:style w:type="character" w:customStyle="1" w:styleId="158">
    <w:name w:val="font241"/>
    <w:basedOn w:val="43"/>
    <w:qFormat/>
    <w:uiPriority w:val="0"/>
    <w:rPr>
      <w:rFonts w:hint="eastAsia" w:ascii="宋体" w:hAnsi="宋体" w:eastAsia="宋体" w:cs="宋体"/>
      <w:color w:val="FF0000"/>
      <w:sz w:val="21"/>
      <w:szCs w:val="21"/>
      <w:u w:val="none"/>
    </w:rPr>
  </w:style>
  <w:style w:type="character" w:customStyle="1" w:styleId="159">
    <w:name w:val="font01"/>
    <w:basedOn w:val="43"/>
    <w:qFormat/>
    <w:uiPriority w:val="0"/>
    <w:rPr>
      <w:rFonts w:ascii="宋体" w:hAnsi="宋体" w:eastAsia="宋体" w:cs="宋体"/>
      <w:color w:val="000000"/>
      <w:sz w:val="21"/>
      <w:szCs w:val="21"/>
      <w:u w:val="none"/>
    </w:rPr>
  </w:style>
  <w:style w:type="character" w:customStyle="1" w:styleId="160">
    <w:name w:val="font251"/>
    <w:basedOn w:val="43"/>
    <w:qFormat/>
    <w:uiPriority w:val="0"/>
    <w:rPr>
      <w:rFonts w:ascii="宋体" w:hAnsi="宋体" w:eastAsia="宋体" w:cs="宋体"/>
      <w:color w:val="FF0000"/>
      <w:sz w:val="21"/>
      <w:szCs w:val="21"/>
      <w:u w:val="none"/>
    </w:rPr>
  </w:style>
  <w:style w:type="character" w:customStyle="1" w:styleId="161">
    <w:name w:val="font161"/>
    <w:basedOn w:val="43"/>
    <w:qFormat/>
    <w:uiPriority w:val="0"/>
    <w:rPr>
      <w:rFonts w:ascii="宋体" w:hAnsi="宋体" w:eastAsia="宋体" w:cs="宋体"/>
      <w:color w:val="000000"/>
      <w:sz w:val="22"/>
      <w:szCs w:val="22"/>
      <w:u w:val="none"/>
    </w:rPr>
  </w:style>
  <w:style w:type="character" w:customStyle="1" w:styleId="162">
    <w:name w:val="font231"/>
    <w:basedOn w:val="43"/>
    <w:qFormat/>
    <w:uiPriority w:val="0"/>
    <w:rPr>
      <w:rFonts w:hint="default" w:ascii="Times New Roman" w:hAnsi="Times New Roman" w:cs="Times New Roman"/>
      <w:color w:val="000000"/>
      <w:sz w:val="22"/>
      <w:szCs w:val="22"/>
      <w:u w:val="none"/>
    </w:rPr>
  </w:style>
  <w:style w:type="character" w:customStyle="1" w:styleId="163">
    <w:name w:val="font261"/>
    <w:basedOn w:val="43"/>
    <w:qFormat/>
    <w:uiPriority w:val="0"/>
    <w:rPr>
      <w:rFonts w:ascii="宋体" w:hAnsi="宋体" w:eastAsia="宋体" w:cs="宋体"/>
      <w:color w:val="000000"/>
      <w:sz w:val="22"/>
      <w:szCs w:val="22"/>
      <w:u w:val="none"/>
    </w:rPr>
  </w:style>
  <w:style w:type="character" w:customStyle="1" w:styleId="164">
    <w:name w:val="font181"/>
    <w:basedOn w:val="43"/>
    <w:qFormat/>
    <w:uiPriority w:val="0"/>
    <w:rPr>
      <w:rFonts w:hint="default" w:ascii="Times New Roman" w:hAnsi="Times New Roman" w:cs="Times New Roman"/>
      <w:color w:val="000000"/>
      <w:sz w:val="22"/>
      <w:szCs w:val="22"/>
      <w:u w:val="none"/>
    </w:rPr>
  </w:style>
  <w:style w:type="character" w:customStyle="1" w:styleId="165">
    <w:name w:val="font191"/>
    <w:basedOn w:val="43"/>
    <w:qFormat/>
    <w:uiPriority w:val="0"/>
    <w:rPr>
      <w:rFonts w:hint="eastAsia" w:ascii="宋体" w:hAnsi="宋体" w:eastAsia="宋体" w:cs="宋体"/>
      <w:color w:val="000000"/>
      <w:sz w:val="21"/>
      <w:szCs w:val="21"/>
      <w:u w:val="none"/>
    </w:rPr>
  </w:style>
  <w:style w:type="character" w:customStyle="1" w:styleId="166">
    <w:name w:val="font271"/>
    <w:basedOn w:val="43"/>
    <w:qFormat/>
    <w:uiPriority w:val="0"/>
    <w:rPr>
      <w:rFonts w:hint="eastAsia" w:ascii="宋体" w:hAnsi="宋体" w:eastAsia="宋体" w:cs="宋体"/>
      <w:color w:val="000000"/>
      <w:sz w:val="22"/>
      <w:szCs w:val="22"/>
      <w:u w:val="none"/>
    </w:rPr>
  </w:style>
  <w:style w:type="character" w:customStyle="1" w:styleId="167">
    <w:name w:val="font61"/>
    <w:basedOn w:val="43"/>
    <w:qFormat/>
    <w:uiPriority w:val="0"/>
    <w:rPr>
      <w:rFonts w:hint="eastAsia" w:ascii="黑体" w:hAnsi="宋体" w:eastAsia="黑体" w:cs="黑体"/>
      <w:color w:val="000000"/>
      <w:sz w:val="20"/>
      <w:szCs w:val="20"/>
      <w:u w:val="none"/>
    </w:rPr>
  </w:style>
  <w:style w:type="character" w:customStyle="1" w:styleId="168">
    <w:name w:val="font41"/>
    <w:basedOn w:val="43"/>
    <w:qFormat/>
    <w:uiPriority w:val="0"/>
    <w:rPr>
      <w:rFonts w:hint="eastAsia" w:ascii="黑体" w:hAnsi="宋体" w:eastAsia="黑体" w:cs="黑体"/>
      <w:color w:val="000000"/>
      <w:sz w:val="20"/>
      <w:szCs w:val="20"/>
      <w:u w:val="none"/>
    </w:rPr>
  </w:style>
  <w:style w:type="character" w:customStyle="1" w:styleId="169">
    <w:name w:val="font21"/>
    <w:basedOn w:val="43"/>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110</Pages>
  <Words>39463</Words>
  <Characters>41386</Characters>
  <Lines>347</Lines>
  <Paragraphs>97</Paragraphs>
  <TotalTime>10</TotalTime>
  <ScaleCrop>false</ScaleCrop>
  <LinksUpToDate>false</LinksUpToDate>
  <CharactersWithSpaces>45638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2024-08-26T08:27:00Z</cp:lastPrinted>
  <dcterms:modified xsi:type="dcterms:W3CDTF">2024-09-06T08:32:01Z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