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神经电生理采集工作系统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</w:t>
            </w:r>
            <w:r>
              <w:rPr>
                <w:rFonts w:ascii="黑体" w:hAnsi="宋体" w:eastAsia="黑体" w:cs="黑体"/>
                <w:sz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诱发电位功能基本要求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耳蜗电图（ECochG）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彩页、技术白皮书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听性脑干反应（ABR）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Chirp声刺激ABR（iChirp ABR）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40Hz听觉相关电位（40Hz-AERP）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中潜伏期诱发反应（MLR）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长潜伏期诱发电位（LLR）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前庭诱发肌源性电位（cVEMP/oVEMP）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事件相关电位/失匹配负波（P300/MMN）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动物高频ABR实验（32kHz ABR）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耳声发射功能基本要求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畸变产物耳声发射（DPOAE）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彩页、技术白皮书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瞬态耳声发射（TEOAE）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短纯音耳声发射（TBOAE）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自发耳声发射（SOAE）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CFDA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诱发电位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通道数：双通道采集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技术白皮书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输入阻抗＞10Mohm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A/D分辨率：16比特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分析时窗能覆盖-8000ms ~ 8000ms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增益范围：5K ~ 200K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滤波方式包含高通滤波器、低通滤波器、陷波滤波器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采集叠加：1 ~ 51711次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共模抑制比：≥110dB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刺激声强：0dB SPL ~ 136dB SPL，1dB步进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刺激频率：0Hz ~ 16kHz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刺激速率：0 ~ 1000次/秒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掩蔽信号：白噪声（宽带噪声）或自定义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对侧掩蔽强度：0dB SPL ~ 149dB SPL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多种刺激方式：短声（Click）、短纯音（Tone Burst）、短音（Tone pip）、Chirp声、自录刺激声（复合声刺激文件）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可对刺激声参数进行自定义设置和调整：脉冲宽度、周期和包络波形可选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听性脑干反应ABR：可标记I，II，III，IV，V，VI，VII的潜伏期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耳蜗电图EcochG：可标记SP，AP，Base的潜伏期，耳蜗电图振幅比和面积比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中潜伏期诱发电位反应MLR：可标记No，Po，Na，Pa，Nb，Pb的潜伏期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晚潜伏期诱发电位反应LLR：可标记P1，N1，P2，N2的潜伏期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慢负相反应SN10：可标记N10的潜伏期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前庭诱发肌源性电位VEMP：可标记P1，N1的潜伏期，可实时观察患者肌肉紧张度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事件相关电位/失匹配负波（P300/MMN）：可标记P3，N3，P300，N300的潜伏期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动物高频ABR实验：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一对高频耳机的声强可覆盖0-94dB SPL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给声频率范围500Hz-32kHz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能手动调节高低通滤波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能手动调节拒绝水平和时间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耳声发射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技术要求：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畸变产物耳声发射（DPOAE）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声音强度：-25dB SPL ~ 80dB SPL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技术白皮书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频率范围：375Hz ~ 12500Hz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叠加次数：1-1024次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最大校正值：3dB SPL ~ 20dB SPL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频率比值F2/F1：1.1 ~ 1.5之间任意设置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某一频率判定通过的标准：信噪比标准差单位（0 ~ 5）、信噪比SNR（0 ~ 50dB SPL）、DP值（-10 ~ 50dB SPL）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噪声水平标准差：none、1、2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频程：1 ~ 10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耳声发射</w:t>
            </w:r>
          </w:p>
          <w:p>
            <w:pPr>
              <w:pStyle w:val="2"/>
              <w:widowControl/>
              <w:spacing w:line="240" w:lineRule="exact"/>
              <w:ind w:firstLine="0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技术要求：</w:t>
            </w:r>
          </w:p>
          <w:p>
            <w:pPr>
              <w:pStyle w:val="2"/>
              <w:widowControl/>
              <w:spacing w:line="240" w:lineRule="exact"/>
              <w:ind w:firstLine="0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瞬态耳声发射（TEOAE）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刺激强度：10dB SPL ~ 95dB SPL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技术白皮书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叠加次数：1 ~ 10000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刺激速率：1 ~ 50次/秒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刺激声：Click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采集模式：线性瞬态耳声发射，非线性瞬态耳声发射，自发性耳声发射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显示波形：可显示左右耳波形，统计数据表，时频和频域分析图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耳声发射</w:t>
            </w:r>
          </w:p>
          <w:p>
            <w:pPr>
              <w:pStyle w:val="2"/>
              <w:widowControl/>
              <w:spacing w:line="240" w:lineRule="exact"/>
              <w:ind w:firstLine="0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技术要求：</w:t>
            </w:r>
          </w:p>
          <w:p>
            <w:pPr>
              <w:pStyle w:val="2"/>
              <w:widowControl/>
              <w:spacing w:line="240" w:lineRule="exact"/>
              <w:ind w:firstLine="0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短纯音耳声发射（TBOAE）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刺激强度：10dB SPL ~ 95dB SPL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技术白皮书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叠加次数：1 ~ 10000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刺激速率：1 ~ 50次/秒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刺激声：Tone Burst或可编辑的刺激文件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spacing w:line="240" w:lineRule="exact"/>
              <w:ind w:firstLine="0"/>
              <w:textAlignment w:val="center"/>
              <w:rPr>
                <w:rFonts w:ascii="黑体" w:hAnsi="宋体" w:eastAsia="黑体" w:cs="黑体"/>
                <w:i/>
                <w:iCs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bidi="ar"/>
              </w:rPr>
              <w:t>USB通用控制器 1台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配置单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spacing w:line="240" w:lineRule="exact"/>
              <w:ind w:firstLine="0"/>
              <w:textAlignment w:val="center"/>
              <w:rPr>
                <w:rFonts w:ascii="黑体" w:hAnsi="宋体" w:eastAsia="黑体" w:cs="黑体"/>
                <w:i/>
                <w:iCs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bidi="ar"/>
              </w:rPr>
              <w:t>高频耳机（1对）</w:t>
            </w:r>
          </w:p>
        </w:tc>
        <w:tc>
          <w:tcPr>
            <w:tcW w:w="7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spacing w:line="240" w:lineRule="exact"/>
              <w:ind w:firstLine="0"/>
              <w:textAlignment w:val="center"/>
              <w:rPr>
                <w:rFonts w:ascii="黑体" w:hAnsi="宋体" w:eastAsia="黑体" w:cs="黑体"/>
                <w:i/>
                <w:iCs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bidi="ar"/>
              </w:rPr>
              <w:t>OAE探头（1个）</w:t>
            </w:r>
          </w:p>
        </w:tc>
        <w:tc>
          <w:tcPr>
            <w:tcW w:w="7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spacing w:line="240" w:lineRule="exact"/>
              <w:ind w:firstLine="0"/>
              <w:textAlignment w:val="center"/>
              <w:rPr>
                <w:rFonts w:ascii="黑体" w:hAnsi="宋体" w:eastAsia="黑体" w:cs="黑体"/>
                <w:i/>
                <w:iCs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bidi="ar"/>
              </w:rPr>
              <w:t>诱发电位功能软件包 1套</w:t>
            </w:r>
          </w:p>
        </w:tc>
        <w:tc>
          <w:tcPr>
            <w:tcW w:w="7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spacing w:line="240" w:lineRule="exact"/>
              <w:ind w:firstLine="0"/>
              <w:textAlignment w:val="center"/>
              <w:rPr>
                <w:rFonts w:ascii="黑体" w:hAnsi="宋体" w:eastAsia="黑体" w:cs="黑体"/>
                <w:i/>
                <w:iCs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bidi="ar"/>
              </w:rPr>
              <w:t>耳声发射功能软件包 1套</w:t>
            </w:r>
          </w:p>
        </w:tc>
        <w:tc>
          <w:tcPr>
            <w:tcW w:w="7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提供不少于5人次、3天的工程师维修培训。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维修响应时间≤4小时，维修到达现场时间≤12小时。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√公开招标    □邀请招标    □竞争性谈判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√综合评分法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▲标识的指标负偏离≥19项，投标企业技术分值为0分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▲标识的指标和“无标识”指标负偏离≥51项，投标企业技术分值为0分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负偏离；</w:t>
            </w:r>
          </w:p>
        </w:tc>
      </w:tr>
    </w:tbl>
    <w:p>
      <w:pPr>
        <w:pStyle w:val="10"/>
        <w:rPr>
          <w:rFonts w:hint="default" w:ascii="方正小标宋简体" w:hAnsi="方正小标宋简体" w:eastAsia="方正小标宋简体" w:cs="方正小标宋简体"/>
          <w:sz w:val="2"/>
          <w:szCs w:val="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zMDc3ZWI1NzA1NDc4NTQyZDNlZTJiZmNiMzVkY2YifQ=="/>
  </w:docVars>
  <w:rsids>
    <w:rsidRoot w:val="00751318"/>
    <w:rsid w:val="000F5C65"/>
    <w:rsid w:val="00291E22"/>
    <w:rsid w:val="002F03CD"/>
    <w:rsid w:val="003423A6"/>
    <w:rsid w:val="00493029"/>
    <w:rsid w:val="004A0C6E"/>
    <w:rsid w:val="00545C7D"/>
    <w:rsid w:val="00682BEB"/>
    <w:rsid w:val="006C2B81"/>
    <w:rsid w:val="00751318"/>
    <w:rsid w:val="007E4511"/>
    <w:rsid w:val="008124DE"/>
    <w:rsid w:val="0083553A"/>
    <w:rsid w:val="008D37E5"/>
    <w:rsid w:val="009402DA"/>
    <w:rsid w:val="009822B1"/>
    <w:rsid w:val="009C56F9"/>
    <w:rsid w:val="009C7F94"/>
    <w:rsid w:val="00AD45BD"/>
    <w:rsid w:val="00BC595E"/>
    <w:rsid w:val="00BE6551"/>
    <w:rsid w:val="00C3544E"/>
    <w:rsid w:val="00C44D12"/>
    <w:rsid w:val="00CE5C49"/>
    <w:rsid w:val="00E07F52"/>
    <w:rsid w:val="00F81530"/>
    <w:rsid w:val="00F82CB7"/>
    <w:rsid w:val="07245A41"/>
    <w:rsid w:val="0EAA135B"/>
    <w:rsid w:val="15D22053"/>
    <w:rsid w:val="1CB013AE"/>
    <w:rsid w:val="2079293B"/>
    <w:rsid w:val="2BCB7DDB"/>
    <w:rsid w:val="2E282AB8"/>
    <w:rsid w:val="37EC7647"/>
    <w:rsid w:val="4E2B655C"/>
    <w:rsid w:val="52AE1F80"/>
    <w:rsid w:val="5B213B62"/>
    <w:rsid w:val="5C9F342E"/>
    <w:rsid w:val="5DC161AB"/>
    <w:rsid w:val="606B5BC6"/>
    <w:rsid w:val="686F6AD4"/>
    <w:rsid w:val="781F02DA"/>
    <w:rsid w:val="7A35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1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页眉 字符"/>
    <w:basedOn w:val="8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2719</Characters>
  <Lines>22</Lines>
  <Paragraphs>6</Paragraphs>
  <TotalTime>147</TotalTime>
  <ScaleCrop>false</ScaleCrop>
  <LinksUpToDate>false</LinksUpToDate>
  <CharactersWithSpaces>3189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2024-06-14T06:44:00Z</dcterms:created>
  <dc:creator>DOCTOR</dc:creator>
  <cp:lastModifiedBy>DOCTOR</cp:lastModifiedBy>
  <cp:lastPrinted>2024-06-17T03:01:00Z</cp:lastPrinted>
  <dcterms:modified xsi:type="dcterms:W3CDTF">2024-07-26T10:55:30Z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D182A146F54F449DBEBD5465499F5C06_12</vt:lpwstr>
  </property>
</Properties>
</file>