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0" w:name="_Toc128397969"/>
      <w:bookmarkStart w:id="1" w:name="_Toc132190633"/>
      <w:bookmarkStart w:id="2" w:name="_Toc127820563"/>
      <w:bookmarkStart w:id="3" w:name="_Toc189"/>
      <w:bookmarkStart w:id="4" w:name="_Toc128151026"/>
      <w:bookmarkStart w:id="5" w:name="_Toc128150777"/>
      <w:bookmarkStart w:id="6" w:name="_Toc30945"/>
      <w:bookmarkStart w:id="7" w:name="_Toc128150133"/>
      <w:bookmarkStart w:id="8" w:name="_Toc25703"/>
      <w:bookmarkStart w:id="9" w:name="_Toc22387"/>
      <w:bookmarkStart w:id="10" w:name="_Toc130887499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均为实质性响应条款，不允许负偏离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)</w:t>
      </w:r>
    </w:p>
    <w:tbl>
      <w:tblPr>
        <w:tblStyle w:val="4"/>
        <w:tblW w:w="9740" w:type="dxa"/>
        <w:tblInd w:w="-30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044"/>
        <w:gridCol w:w="4850"/>
        <w:gridCol w:w="173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需求名称</w:t>
            </w:r>
          </w:p>
        </w:tc>
        <w:tc>
          <w:tcPr>
            <w:tcW w:w="485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需求具体内容</w:t>
            </w: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交货时间、交货地点</w:t>
            </w:r>
          </w:p>
        </w:tc>
        <w:tc>
          <w:tcPr>
            <w:tcW w:w="4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合同签订后1个月内交付，交付地点由甲方指定。</w:t>
            </w:r>
          </w:p>
        </w:tc>
        <w:tc>
          <w:tcPr>
            <w:tcW w:w="1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付款及结算方式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签订合同付（预付）0%，物资到货（服务完成）验收后付95%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履约保证金/质量保证金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验收合格后满1年（或质保期结束）无质量问题支付剩余5%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产品包装和运输要求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按照国家、行业相关标准规范，产品确保包装完好，运输确保不对产品造成损伤。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售后服务1</w:t>
            </w:r>
          </w:p>
        </w:tc>
        <w:tc>
          <w:tcPr>
            <w:tcW w:w="48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保修年限不低于3年，全年故障停机时间不高于5%（按365日/年计算)。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48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售后服务2（质保）</w:t>
            </w:r>
          </w:p>
        </w:tc>
        <w:tc>
          <w:tcPr>
            <w:tcW w:w="48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保修期内免费提供定期维护保养服务，免费升级和维护软件，免费提供使用培训。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48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售后服务3</w:t>
            </w:r>
          </w:p>
        </w:tc>
        <w:tc>
          <w:tcPr>
            <w:tcW w:w="48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提供不少于2人次、5天的工程师维修培训。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48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售后服务4</w:t>
            </w:r>
          </w:p>
        </w:tc>
        <w:tc>
          <w:tcPr>
            <w:tcW w:w="48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维修响应时间≤0.5小时，维修到达现场时间≤4小时</w:t>
            </w:r>
          </w:p>
        </w:tc>
        <w:tc>
          <w:tcPr>
            <w:tcW w:w="1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1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20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48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备品备件要求（零配件）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由供应商承诺项目使用寿命周期内保证零配件供应。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知识产权和保密要求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zh-CN" w:eastAsia="zh-CN" w:bidi="ar-SA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材料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zh-CN" w:eastAsia="zh-CN" w:bidi="ar-SA"/>
              </w:rPr>
              <w:t>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/>
              <w:textAlignment w:val="auto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zh-CN" w:eastAsia="zh-CN" w:bidi="ar-SA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18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20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物资编目编码、打码贴签要求</w:t>
            </w:r>
          </w:p>
        </w:tc>
        <w:tc>
          <w:tcPr>
            <w:tcW w:w="485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企业承诺</w:t>
            </w:r>
          </w:p>
        </w:tc>
      </w:tr>
    </w:tbl>
    <w:p>
      <w:pP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1" w:name="_Toc128150778"/>
      <w:bookmarkStart w:id="12" w:name="_Toc128151027"/>
      <w:bookmarkStart w:id="13" w:name="_Toc128150134"/>
      <w:bookmarkStart w:id="14" w:name="_Toc130887500"/>
      <w:bookmarkStart w:id="15" w:name="_Toc127820564"/>
      <w:bookmarkStart w:id="16" w:name="_Toc128397970"/>
      <w:bookmarkStart w:id="17" w:name="_Toc13219063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4"/>
        <w:tblW w:w="962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1525"/>
        <w:gridCol w:w="1188"/>
        <w:gridCol w:w="3829"/>
        <w:gridCol w:w="1283"/>
        <w:gridCol w:w="107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25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44"/>
                <w:szCs w:val="44"/>
                <w:highlight w:val="none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性质</w:t>
            </w:r>
          </w:p>
        </w:tc>
        <w:tc>
          <w:tcPr>
            <w:tcW w:w="3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量化</w:t>
            </w: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6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625" w:type="dxa"/>
            <w:gridSpan w:val="6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一、自动心肺复苏仪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对心脏骤停患者进行心肺复苏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.1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其他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FDA认证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FDA证书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驱动方式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电动电控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3.2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按压方式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仿手工按压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3.3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固定方式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支撑组件采用硬质材料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3.4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按压模式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30:2按压和连续按压模式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152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按压频率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≥100次/分钟，误差≤±2次/分钟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3.6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最大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按压深度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小于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.5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cm，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防止按压过深导致损伤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3.7</w:t>
            </w:r>
          </w:p>
        </w:tc>
        <w:tc>
          <w:tcPr>
            <w:tcW w:w="152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胸廓复位装置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具备，确保患者胸廓复位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3.8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供电方式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电池供电、墙壁电、车载供电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3.9</w:t>
            </w:r>
          </w:p>
        </w:tc>
        <w:tc>
          <w:tcPr>
            <w:tcW w:w="152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背板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可透X光射线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3.10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与除颤手柄同步使用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无需拆卸机器或者调转机器即可实现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3.11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重量（含电池）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3.12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防水防尘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IP43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3.13</w:t>
            </w:r>
          </w:p>
        </w:tc>
        <w:tc>
          <w:tcPr>
            <w:tcW w:w="1525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防摔设计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2"/>
                <w:szCs w:val="22"/>
                <w:highlight w:val="none"/>
                <w:u w:val="none"/>
                <w:lang w:eastAsia="zh-CN"/>
              </w:rPr>
              <w:t>无显示屏，物理按键设计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6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二、呼吸机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能够为各种危重症患者提供个性化的通气治疗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策略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具有NMPA认证和FDA认证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注册证及FDA证书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通气模式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≥7种，至少包含容量控制通气模式，压力控制通气模式，同步间歇指令通气模式，持续气道正压模式，双水平气道正压通气模式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3.2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潮气量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≥(20－3000)ml，最大误差≤15%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3.3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≥（1-99）次/分，最大误差≤10%或≤±1次/分（取绝对值大者）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3.4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高流量氧疗功能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(2-50)L/min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病人数据传输功能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病人趋势数据可通过接口对外传输，接口类型为USB和RS232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3.6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流量触发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≥（0.2-15）L/min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3.7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自检功能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开机自检、全面自检，通气过程中压力传感器、流量传感器可自动标定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3.8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肺力学监测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实时动态监测气道阻力和肺顺应性，并具备肺视图功能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3.9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呼出端流量传感器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超声流量传感器或热丝流量传感器，非压差式传感器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3.10</w:t>
            </w:r>
          </w:p>
        </w:tc>
        <w:tc>
          <w:tcPr>
            <w:tcW w:w="15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显示屏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82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≥17英寸彩色显示器</w:t>
            </w:r>
          </w:p>
        </w:tc>
        <w:tc>
          <w:tcPr>
            <w:tcW w:w="128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3.11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吸气伺服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吸气伺服机构不接受涡轮机（非涡轮机）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3.12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长效氧电池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顺磁氧传感器或超声氧传感器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技术白皮书、彩页或说明书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自动心肺复苏仪配置要求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主机1个、背板1个、电池2块、背包1个、充电线1个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呼吸机配置要求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382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主机10台，呼吸机管理系统1套，可重复使用呼吸管路20套，湿化器10套，支架10个，模拟肺10套，台车10个，流量传感器100套，雾化模块5套，呼末CO2模块5套。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250" w:type="dxa"/>
            <w:gridSpan w:val="2"/>
            <w:vMerge w:val="restart"/>
            <w:tcBorders>
              <w:top w:val="nil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37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▲标识的指标负偏离≥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13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项，投标企业技术分值为0分；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37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▲标识的指标和“无标识”指标负偏离≥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33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项，投标企业技术分值为0分。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★指标和▲标识的指标均需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投标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企业提供证明材料。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E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2024-10-16T08:51:55Z</dcterms:created>
  <dc:creator>admin</dc:creator>
  <cp:lastModifiedBy>admin</cp:lastModifiedBy>
  <dcterms:modified xsi:type="dcterms:W3CDTF">2024-10-16T08:59:00Z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