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  <w:highlight w:val="none"/>
        </w:rPr>
      </w:pPr>
      <w:bookmarkStart w:id="0" w:name="_Toc22387"/>
      <w:bookmarkStart w:id="1" w:name="_Toc130887499"/>
      <w:bookmarkStart w:id="2" w:name="_Toc128150777"/>
      <w:bookmarkStart w:id="3" w:name="_Toc30945"/>
      <w:bookmarkStart w:id="4" w:name="_Toc132190633"/>
      <w:bookmarkStart w:id="5" w:name="_Toc127820563"/>
      <w:bookmarkStart w:id="6" w:name="_Toc128397969"/>
      <w:bookmarkStart w:id="7" w:name="_Toc189"/>
      <w:bookmarkStart w:id="8" w:name="_Toc128150133"/>
      <w:bookmarkStart w:id="9" w:name="_Toc25703"/>
      <w:bookmarkStart w:id="10" w:name="_Toc128151026"/>
      <w:bookmarkStart w:id="11" w:name="_Toc14428"/>
      <w:bookmarkStart w:id="12" w:name="_Toc128151027"/>
      <w:bookmarkStart w:id="13" w:name="_Toc127820564"/>
      <w:bookmarkStart w:id="14" w:name="_Toc130887500"/>
      <w:bookmarkStart w:id="15" w:name="_Toc128397970"/>
      <w:bookmarkStart w:id="16" w:name="_Toc128150134"/>
      <w:bookmarkStart w:id="17" w:name="_Toc132190634"/>
      <w:bookmarkStart w:id="18" w:name="_Toc128150778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/>
          <w:highlight w:val="none"/>
          <w:lang w:val="en-US" w:eastAsia="zh-CN"/>
        </w:rPr>
        <w:t>（均为实质性响应条款，不接受负偏离）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一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  <w:lang w:val="zh-CN"/>
        </w:rPr>
        <w:t>经济要求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198"/>
        <w:gridCol w:w="3537"/>
        <w:gridCol w:w="758"/>
        <w:gridCol w:w="376"/>
        <w:gridCol w:w="351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签订合同付（预付）0%，物资到货（服务完成）验收后付96%。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验收合格后满1年无质量问题支付剩余4%（不超过5%）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提供不少于3人次、3天的工程师维修培训。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维修响应时间≤0.5小时，维修到达现场时间≤3小时。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黑体" w:cs="宋体"/>
                <w:sz w:val="16"/>
                <w:szCs w:val="16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黑体" w:cs="宋体"/>
                <w:sz w:val="16"/>
                <w:szCs w:val="16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sectPr>
          <w:headerReference r:id="rId3" w:type="default"/>
          <w:pgSz w:w="11906" w:h="16838"/>
          <w:pgMar w:top="1417" w:right="1134" w:bottom="1417" w:left="1417" w:header="851" w:footer="850" w:gutter="0"/>
          <w:pgNumType w:fmt="decimal"/>
          <w:cols w:space="0" w:num="1"/>
          <w:docGrid w:linePitch="312" w:charSpace="0"/>
        </w:sect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19" w:name="_Toc1965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198"/>
        <w:gridCol w:w="3537"/>
        <w:gridCol w:w="758"/>
        <w:gridCol w:w="376"/>
        <w:gridCol w:w="351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与血小板耗材配合使用，用于对血液成分的分离和处理，完成对血小板成品的采集。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资质认证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同时具备NMPA、CE或FDA认证、具备ISO13485认证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注册证及认证书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离心机转速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≥5000rpm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移动后离心机校准要求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无需校准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屏幕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大屏幕液晶显示（LCD），中文版操作系统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采血静脉压轴带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全自动工作方式，可拆卸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设备便携性要求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设备重量小于30公斤，功率500瓦，配有可移动机架，可方便应用于开展献血屋，献血车机采。甚至床旁治疗和急救抢救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泵速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rFonts w:hint="eastAsia" w:ascii="Batang" w:hAnsi="Batang" w:eastAsia="Batang"/>
                <w:sz w:val="16"/>
                <w:szCs w:val="16"/>
              </w:rPr>
              <w:t>~140毫升/分，可以</w:t>
            </w:r>
            <w:r>
              <w:rPr>
                <w:rFonts w:hint="eastAsia"/>
                <w:sz w:val="16"/>
                <w:szCs w:val="16"/>
              </w:rPr>
              <w:t>随时根据捐血者的静脉要求进行人工调节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00" w:firstLineChars="150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抗凝控制方式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独立抗凝剂泵，全自动控制方式，时刻控制抗凝滴速并自动报警，保证捐血者整个采集过程的安全性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穿刺要求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单针静脉穿刺或管路接口与静脉插管连接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抗凝剂比例调整范围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1：8</w:t>
            </w:r>
            <w:r>
              <w:rPr>
                <w:rFonts w:hint="eastAsia" w:ascii="Batang" w:hAnsi="Batang" w:eastAsia="Batang"/>
                <w:sz w:val="16"/>
                <w:szCs w:val="16"/>
              </w:rPr>
              <w:t>~1:16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操作模式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1.人、机对话方式，图形式操作界面，动态数据显示。具有数据自动计算功能（HaemoCalculator）。3.具有单键操作的在线式帮助功能。4.可配置条型码阅读器。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信息化要求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带有通信接口，并可配置实时中文信息系统，可在站内实时监控献血点（如献血屋和献血车）的每台机采设备采集情况。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机采过程可见可控性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采集时操作员直观观察机采管路，并根据实际情况作出判断，保证机采的安全性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血小板采集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采集时间45-90min，血小板2.5-5*10</w:t>
            </w:r>
            <w:r>
              <w:rPr>
                <w:rFonts w:hint="eastAsia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采集内容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血小板采集；细胞采集（自体和异体）；血浆采集；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应用范围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b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包括但不限于干细胞移植；血浆置换；血细胞/血小板/红细胞去除。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NMPA配套耗材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≥3种，且具备相应认证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是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具备多种保护传感器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具备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固定代码方式，语音信息提示，在线HELP帮助提示。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设备不良事件情况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提供设备近三年不良事件情况（一般为厂家自报）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</w:rPr>
              <w:t>软件</w:t>
            </w:r>
            <w:r>
              <w:rPr>
                <w:rFonts w:hint="eastAsia"/>
                <w:sz w:val="16"/>
                <w:szCs w:val="16"/>
                <w:lang w:eastAsia="zh-CN"/>
              </w:rPr>
              <w:t>（单台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/套</w:t>
            </w:r>
            <w:r>
              <w:rPr>
                <w:rFonts w:hint="eastAsia"/>
                <w:sz w:val="16"/>
                <w:szCs w:val="16"/>
                <w:lang w:eastAsia="zh-CN"/>
              </w:rPr>
              <w:t>）配置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配套中英文操作显示和操作提示功能。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硬件</w:t>
            </w:r>
            <w:r>
              <w:rPr>
                <w:rFonts w:hint="eastAsia"/>
                <w:sz w:val="16"/>
                <w:szCs w:val="16"/>
                <w:lang w:eastAsia="zh-CN"/>
              </w:rPr>
              <w:t>（单台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/套</w:t>
            </w:r>
            <w:r>
              <w:rPr>
                <w:rFonts w:hint="eastAsia"/>
                <w:sz w:val="16"/>
                <w:szCs w:val="16"/>
                <w:lang w:eastAsia="zh-CN"/>
              </w:rPr>
              <w:t>）配置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主机一台、设备配套车架、袖带、扫码枪电源线、程序卡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配套耗材</w:t>
            </w:r>
            <w:r>
              <w:rPr>
                <w:rFonts w:hint="eastAsia"/>
                <w:sz w:val="16"/>
                <w:szCs w:val="16"/>
              </w:rPr>
              <w:br w:type="textWrapping"/>
            </w:r>
            <w:r>
              <w:rPr>
                <w:rFonts w:hint="eastAsia"/>
                <w:sz w:val="16"/>
                <w:szCs w:val="16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★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封闭耗材，中华人民共和国食品与药品监督管理局（CFDA）颁发的医疗器械注册证。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厂家承诺及</w:t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联网要求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提供物联网组件（适配器），通过有线或WIFI等方式连接，通过HL7协议标准传输数据，数据内容包括设备运行状态、关键系统参数、日志信息、体征、波形等。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技术文件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设备厂商向院方提供详细的有关接口形式和数据传输协议说明文档，交由物联网项目组验收，并配合院方解决设备联网相关问题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安装要求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3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避强光，地面平整，每台设备需1㎡空间，另外采血椅2㎡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64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▲标识的指标和“无标识”指标负偏离≥4项，投标企业技术分值为0分</w:t>
            </w:r>
          </w:p>
        </w:tc>
      </w:tr>
    </w:tbl>
    <w:p>
      <w:pPr>
        <w:pStyle w:val="3"/>
        <w:numPr>
          <w:ilvl w:val="0"/>
          <w:numId w:val="0"/>
        </w:numPr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2"/>
        <w:rPr>
          <w:rFonts w:hint="eastAsia"/>
        </w:rPr>
      </w:pPr>
    </w:p>
    <w:p>
      <w:pPr>
        <w:pStyle w:val="4"/>
        <w:spacing w:before="180" w:beforeLines="50" w:after="180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693"/>
        <w:gridCol w:w="1009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sz w:val="20"/>
              </w:rPr>
              <w:t>耗材（试剂）与设备为同一品牌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一次性血小板分离器（去白）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套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一次性血小板分离器（单份）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套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一次性血小板分离器（双份）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套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b/>
                <w:bCs/>
                <w:sz w:val="20"/>
              </w:rPr>
            </w:pPr>
          </w:p>
        </w:tc>
      </w:tr>
    </w:tbl>
    <w:p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ascii="楷体_GB2312" w:eastAsia="楷体_GB2312"/>
        <w:sz w:val="21"/>
        <w:szCs w:val="21"/>
        <w:lang w:eastAsia="zh-CN"/>
      </w:rPr>
    </w:pPr>
    <w:r>
      <w:rPr>
        <w:rFonts w:hint="eastAsia" w:ascii="楷体_GB2312" w:eastAsia="楷体_GB2312"/>
        <w:sz w:val="21"/>
        <w:szCs w:val="21"/>
      </w:rPr>
      <w:t>第</w:t>
    </w:r>
    <w:r>
      <w:rPr>
        <w:rFonts w:hint="eastAsia" w:ascii="楷体_GB2312" w:eastAsia="楷体_GB2312"/>
        <w:sz w:val="21"/>
        <w:szCs w:val="21"/>
        <w:lang w:eastAsia="zh-CN"/>
      </w:rPr>
      <w:t>六</w:t>
    </w:r>
    <w:r>
      <w:rPr>
        <w:rFonts w:hint="eastAsia" w:ascii="楷体_GB2312" w:eastAsia="楷体_GB2312"/>
        <w:sz w:val="21"/>
        <w:szCs w:val="21"/>
      </w:rPr>
      <w:t xml:space="preserve">章  </w:t>
    </w:r>
    <w:r>
      <w:rPr>
        <w:rFonts w:hint="eastAsia" w:ascii="楷体_GB2312" w:eastAsia="楷体_GB2312"/>
        <w:sz w:val="21"/>
        <w:szCs w:val="21"/>
        <w:lang w:eastAsia="zh-CN"/>
      </w:rPr>
      <w:t>采购项目技术和商务要求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D7E59"/>
    <w:multiLevelType w:val="singleLevel"/>
    <w:tmpl w:val="655D7E59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0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2024-09-19T02:25:09Z</dcterms:created>
  <dc:creator>admin</dc:creator>
  <cp:lastModifiedBy>admin</cp:lastModifiedBy>
  <dcterms:modified xsi:type="dcterms:W3CDTF">2024-09-19T02:25:43Z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