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3168"/>
      <w:bookmarkStart w:id="1" w:name="_Toc17189"/>
      <w:bookmarkStart w:id="2" w:name="_Toc22203"/>
      <w:bookmarkStart w:id="3" w:name="_Toc32238"/>
      <w:bookmarkStart w:id="4" w:name="_Toc132186974"/>
      <w:bookmarkStart w:id="5" w:name="_Toc112681847"/>
      <w:bookmarkStart w:id="6" w:name="_Toc132191258"/>
      <w:bookmarkStart w:id="7" w:name="_Toc21712"/>
      <w:bookmarkStart w:id="8" w:name="_Toc128470294"/>
      <w:bookmarkStart w:id="9" w:name="_Toc22977"/>
      <w:bookmarkStart w:id="10" w:name="_Toc130888006"/>
      <w:bookmarkStart w:id="11" w:name="_Toc14060"/>
      <w:bookmarkStart w:id="12" w:name="_Toc13753"/>
      <w:bookmarkStart w:id="13" w:name="_Toc25325"/>
      <w:bookmarkStart w:id="14" w:name="_Toc112768493"/>
      <w:bookmarkStart w:id="15" w:name="_Toc128154367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5"/>
        <w:gridCol w:w="5029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</w:t>
            </w:r>
            <w:bookmarkStart w:id="22" w:name="_GoBack"/>
            <w:bookmarkEnd w:id="22"/>
            <w:r>
              <w:rPr>
                <w:rFonts w:hint="eastAsia" w:ascii="黑体" w:hAnsi="黑体" w:eastAsia="黑体" w:cs="黑体"/>
                <w:kern w:val="0"/>
                <w:sz w:val="20"/>
              </w:rPr>
              <w:t>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/>
    <w:bookmarkEnd w:id="16"/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7651"/>
      <w:bookmarkStart w:id="18" w:name="_Toc20366"/>
    </w:p>
    <w:p>
      <w:pPr>
        <w:pStyle w:val="3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7"/>
      <w:bookmarkEnd w:id="18"/>
    </w:p>
    <w:p>
      <w:pPr>
        <w:pStyle w:val="2"/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629"/>
        <w:gridCol w:w="676"/>
        <w:gridCol w:w="676"/>
        <w:gridCol w:w="72"/>
        <w:gridCol w:w="1029"/>
        <w:gridCol w:w="1988"/>
        <w:gridCol w:w="1136"/>
        <w:gridCol w:w="682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\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4K超高清鼻内窥镜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用于诊断及手术中将内窥镜的目视影像转换成视频影像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具有CFDA，具有CE或FDA。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注册证和认证证书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摄像主机输出分辨率：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≥3840*2160。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信噪比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≥30dB；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亮度调节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色调调节功能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图像冻结功能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记忆设定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各种设定在关机后仍会被保存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白平衡功能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具有自动和手动白平衡功能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缩放功能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视频导出或回放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视频分辨率为3840×2160 或1920×1080，格式至少包含MP4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色彩模式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具有≥16种色彩模式调节，可自定义进行更多精确色彩调整；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主机光源选择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≥2种摄像主机光源可选，LED光源和氙灯光源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具备内窥镜摄像主机软件标清、高清、4K产品的软件自主研发著作权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软件自主研发著作权证书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主机电气安全等级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Ⅰ类CF型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19" w:name="_Toc3904"/>
            <w:bookmarkStart w:id="20" w:name="_Toc26177"/>
            <w:bookmarkStart w:id="21" w:name="_Toc16412"/>
            <w:r>
              <w:rPr>
                <w:rFonts w:hint="eastAsia" w:ascii="黑体" w:hAnsi="黑体" w:eastAsia="黑体" w:cs="黑体"/>
                <w:kern w:val="0"/>
                <w:sz w:val="20"/>
              </w:rPr>
              <w:t>摄像头</w:t>
            </w:r>
            <w:bookmarkEnd w:id="19"/>
            <w:bookmarkEnd w:id="20"/>
            <w:bookmarkEnd w:id="21"/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图像传感器物理分辨率达到3840×2160，全数字化传输。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COMS图像传感器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光学适配器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符合4k光学要求，中心及边缘分辨率，≥250LP/MM投标人需提供分辨率的检测报告。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微距模式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过滤功能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消除内镜成像的摩尔纹，使图像更清晰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兼容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具备连接硬性内窥镜和软性内窥镜。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双重锁定装置，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具备，防止目镜脱落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摄像头控制按键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≥5个，可自定义按键功能设置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摄像头重量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≤200g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摄像头线缆长度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2m-3m；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色温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≥5600K，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输出总光通量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≥1350LM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光源亮度无级调节功能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灯泡寿命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≥20000小时；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使用时长计时功能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光源超负载保护功能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导光束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直径≤4mm，长度2m-3m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显示器屏幕尺寸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≥32英寸，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显示器最佳分辨率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en-US"/>
              </w:rPr>
              <w:t>3840*2160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鼻窦镜直径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4mm-4.5mm；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鼻窦镜长度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170mm-180mm；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鼻窦镜视场角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≥85°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视场中心角分辨力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≥6.0 C/(°)</w:t>
            </w:r>
            <w:r>
              <w:rPr>
                <w:rFonts w:ascii="黑体" w:hAnsi="黑体" w:eastAsia="黑体" w:cs="黑体"/>
                <w:kern w:val="0"/>
                <w:sz w:val="20"/>
              </w:rPr>
              <w:t xml:space="preserve"> 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有效景深范围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1～50mm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有效光度率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≤1400cd/m²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lm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医用台车规格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≥4层，层板可调节及拆除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摄像头挂架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显示器支架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医用内窥镜摄像系统主机1台；内窥镜冷光源1套；医用显示器1台；医用台车1台；鼻窦镜3支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95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▲标识的指标和“无标识”指标负偏离≥15项，投标企业技术分值为0分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D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2024-10-29T06:56:17Z</dcterms:created>
  <dc:creator>admin</dc:creator>
  <cp:lastModifiedBy>admin</cp:lastModifiedBy>
  <dcterms:modified xsi:type="dcterms:W3CDTF">2024-10-29T06:57:09Z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