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kern w:val="0"/>
          <w:sz w:val="22"/>
          <w:szCs w:val="22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</w:rPr>
        <w:t>相关证明材料包括注册证或企业承诺</w:t>
      </w:r>
      <w:r>
        <w:rPr>
          <w:rFonts w:hint="eastAsia" w:ascii="宋体" w:hAnsi="宋体" w:cs="宋体"/>
          <w:b/>
          <w:bCs/>
          <w:kern w:val="0"/>
          <w:sz w:val="22"/>
          <w:szCs w:val="22"/>
          <w:lang w:eastAsia="zh-CN"/>
        </w:rPr>
        <w:t>或</w:t>
      </w:r>
      <w:r>
        <w:rPr>
          <w:rFonts w:hint="eastAsia" w:ascii="宋体" w:hAnsi="宋体" w:cs="宋体"/>
          <w:b/>
          <w:bCs/>
          <w:kern w:val="0"/>
          <w:sz w:val="22"/>
          <w:szCs w:val="22"/>
        </w:rPr>
        <w:t>产品说明书或彩页或白皮书</w:t>
      </w:r>
    </w:p>
    <w:p>
      <w:pPr>
        <w:pStyle w:val="2"/>
        <w:rPr>
          <w:lang w:val="zh-CN"/>
        </w:rPr>
      </w:pPr>
    </w:p>
    <w:p>
      <w:pPr>
        <w:rPr>
          <w:lang w:val="zh-CN"/>
        </w:rPr>
      </w:pPr>
    </w:p>
    <w:p>
      <w:pPr>
        <w:pStyle w:val="4"/>
        <w:numPr>
          <w:ilvl w:val="0"/>
          <w:numId w:val="1"/>
        </w:numPr>
        <w:rPr>
          <w:rFonts w:hint="eastAsia" w:ascii="黑体" w:hAnsi="黑体" w:cs="黑体"/>
          <w:sz w:val="28"/>
          <w:szCs w:val="28"/>
        </w:rPr>
      </w:pPr>
      <w:bookmarkStart w:id="0" w:name="_Toc128151026"/>
      <w:bookmarkStart w:id="1" w:name="_Toc132190633"/>
      <w:bookmarkStart w:id="2" w:name="_Toc22387"/>
      <w:bookmarkStart w:id="3" w:name="_Toc127820563"/>
      <w:bookmarkStart w:id="4" w:name="_Toc189"/>
      <w:bookmarkStart w:id="5" w:name="_Toc130887499"/>
      <w:bookmarkStart w:id="6" w:name="_Toc25703"/>
      <w:bookmarkStart w:id="7" w:name="_Toc30945"/>
      <w:bookmarkStart w:id="8" w:name="_Toc128150133"/>
      <w:bookmarkStart w:id="9" w:name="_Toc128397969"/>
      <w:bookmarkStart w:id="10" w:name="_Toc128150777"/>
      <w:r>
        <w:rPr>
          <w:rFonts w:hint="eastAsia" w:ascii="黑体" w:hAnsi="黑体" w:cs="黑体"/>
          <w:sz w:val="28"/>
          <w:szCs w:val="28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sz w:val="28"/>
          <w:szCs w:val="28"/>
        </w:rPr>
        <w:t>（商务条款均为实质性条款，不接受负偏离）</w:t>
      </w:r>
    </w:p>
    <w:tbl>
      <w:tblPr>
        <w:tblStyle w:val="5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1554"/>
        <w:gridCol w:w="5029"/>
        <w:gridCol w:w="13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知识产权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</w:tbl>
    <w:p>
      <w:pPr>
        <w:pStyle w:val="3"/>
        <w:numPr>
          <w:ilvl w:val="0"/>
          <w:numId w:val="2"/>
        </w:numPr>
        <w:spacing w:before="0" w:after="0" w:line="560" w:lineRule="exact"/>
        <w:ind w:firstLine="560" w:firstLineChars="200"/>
        <w:rPr>
          <w:b w:val="0"/>
          <w:szCs w:val="44"/>
          <w:lang w:val="zh-CN"/>
        </w:rPr>
      </w:pPr>
      <w:bookmarkStart w:id="11" w:name="_Toc128150134"/>
      <w:bookmarkStart w:id="12" w:name="_Toc128150778"/>
      <w:bookmarkStart w:id="13" w:name="_Toc127820564"/>
      <w:bookmarkStart w:id="14" w:name="_Toc128151027"/>
      <w:bookmarkStart w:id="15" w:name="_Toc128397970"/>
      <w:bookmarkStart w:id="16" w:name="_Toc132190634"/>
      <w:bookmarkStart w:id="17" w:name="_Toc130887500"/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11"/>
      <w:bookmarkEnd w:id="12"/>
      <w:bookmarkEnd w:id="13"/>
      <w:bookmarkEnd w:id="14"/>
      <w:bookmarkEnd w:id="15"/>
      <w:bookmarkEnd w:id="16"/>
      <w:bookmarkEnd w:id="17"/>
    </w:p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598"/>
        <w:gridCol w:w="676"/>
        <w:gridCol w:w="676"/>
        <w:gridCol w:w="72"/>
        <w:gridCol w:w="1029"/>
        <w:gridCol w:w="1988"/>
        <w:gridCol w:w="1136"/>
        <w:gridCol w:w="682"/>
        <w:gridCol w:w="11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采购计划</w:t>
            </w:r>
            <w:r>
              <w:rPr>
                <w:rFonts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编号</w:t>
            </w:r>
          </w:p>
        </w:tc>
        <w:tc>
          <w:tcPr>
            <w:tcW w:w="83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/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耳鼻喉综合治疗台</w:t>
            </w:r>
          </w:p>
        </w:tc>
        <w:tc>
          <w:tcPr>
            <w:tcW w:w="6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0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ascii="黑体" w:hAnsi="宋体" w:eastAsia="黑体" w:cs="黑体"/>
                <w:sz w:val="20"/>
              </w:rPr>
              <w:t>108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24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适用于耳鼻喉科常规检查及治疗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资质认证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具有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NMPA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，FDA（或CE）认证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注册证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/>
              </w:rPr>
              <w:t>及证书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模块化设计，专业医用材质(无菌铝材整体注模，水溶性涂料）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正压喷枪空气压缩系统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具备独立正压泵，最大压力≥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2Bar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，无级变可调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全自动光控开关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具备全自动光控开关，提起吸引头自动工作，即拿即用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正压喷枪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一只喷枪，三只带喷嘴药瓶，雾化微粒可调节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消毒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具备，药瓶喷嘴可拆卸，可进行高温高压消毒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波氏吹张试验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具备，配有波氏吹张适配器，用正压喷枪进行波氏吹张试验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耳冲洗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具备独立的耳冲洗碗及耳部保护软管；耳冲水流量可调节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;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开机自动开启加热模块，瓶内水恒温在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37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℃。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负压吸引系统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具备独立负压泵，真空度达≤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 xml:space="preserve">-0.76Bar, 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气流量≥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40L/min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；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  <w:r>
              <w:rPr>
                <w:rFonts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负压大小可调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具备无级变可调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光控开关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具备全自动光控开关，提起吸引头自动工作，即拿即用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分泌物收集系统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具备分泌物收集罐≥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1.25L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，可拆卸，可进行高温高压消毒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细菌过滤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具备分泌物容器，具有双重防溢流和细菌过滤功能；过滤片可有效过滤≤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0.1um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细菌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/>
              </w:rPr>
              <w:t>或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第三方出具的权威检测证明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间接喉镜快速加热系统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具备，红外线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3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秒钟快速加热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自动保护装置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加热≥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15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秒自动停止加热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患者椅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全电动患者椅，耐磨防水，可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360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度旋转，可通过脚踏调节座椅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医生椅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耐磨防水，可抗消毒剂，颜色可选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器械整理盘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PETG涤纶树脂，高透明性、耐腐蚀性、环保材料，符合食品接触管理要求卫生安全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21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医用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LED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聚光灯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具备，阻尼臂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22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内窥镜成像系统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摄像输出分辨率≥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1920x1080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23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接口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DVI-D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接口以便兼容数字和模拟视频信号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,HD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高清图像输出，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S-Video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视频信号输出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,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复合视频信号输出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24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耳内镜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直径≤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3.0mm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，工作长度≥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110mm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，视向角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°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25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鼻窦镜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直径≤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4.0mm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，工作长度≥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175mm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，视向角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°，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30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°，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70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°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26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图文工作站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DVI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双通道数字信号接入，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800x600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、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1024x768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、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1280x720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、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1920x1080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等高分辨率、高清逐行扫描信号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27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电子鼻咽喉镜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枪形外形设计</w:t>
            </w:r>
          </w:p>
          <w:p>
            <w:pPr>
              <w:snapToGrid w:val="0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内置高性能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LED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光源，光源寿命≥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20000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小时</w:t>
            </w:r>
          </w:p>
          <w:p>
            <w:pPr>
              <w:snapToGrid w:val="0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内置高清图像传感器，分辨率≥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1280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×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800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像素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28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有效工作距离，外径长度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有效工作距离≥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300mm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；均匀外径≤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3.9mm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29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弯曲角度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向上≥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140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°，向下≥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140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°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30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景深、视野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具备，景深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6-60 mm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；视野方向：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°；视野角：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85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°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atLeast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31</w:t>
            </w:r>
          </w:p>
        </w:tc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配置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基础款诊疗工作站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2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套：主机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2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台、耳冲洗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2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套，患者椅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2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套、医生椅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2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套、器械管理盘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2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套、聚光灯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2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套；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一体化诊疗工作站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套具备：主机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台，电子鼻咽喉镜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套，摄像系统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套（含图像工作站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;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鼻内镜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0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°，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30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°，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70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°各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根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;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耳内镜：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0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°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根）；患者椅1套、医生椅1套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ascii="黑体" w:hAnsi="宋体" w:eastAsia="黑体" w:cs="黑体"/>
                <w:kern w:val="0"/>
                <w:sz w:val="20"/>
              </w:rPr>
              <w:t>3</w:t>
            </w:r>
          </w:p>
        </w:tc>
        <w:tc>
          <w:tcPr>
            <w:tcW w:w="74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3956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▲标识的指标和“无标识”指标负偏离≥12项，投标企业技术分值为</w:t>
            </w:r>
            <w:r>
              <w:rPr>
                <w:rFonts w:ascii="黑体" w:hAnsi="黑体" w:eastAsia="黑体" w:cs="黑体"/>
                <w:kern w:val="0"/>
                <w:sz w:val="20"/>
              </w:rPr>
              <w:t>0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★及▲标识的指标，无法明确的默认由企业提供承诺；</w:t>
            </w:r>
          </w:p>
          <w:p>
            <w:pPr>
              <w:widowControl/>
              <w:spacing w:afterLines="20" w:line="300" w:lineRule="exact"/>
              <w:ind w:left="420" w:leftChars="200"/>
              <w:jc w:val="left"/>
              <w:textAlignment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经济要求不接受企业负偏离。</w:t>
            </w:r>
          </w:p>
        </w:tc>
      </w:tr>
    </w:tbl>
    <w:p>
      <w:bookmarkStart w:id="18" w:name="_GoBack"/>
      <w:bookmarkEnd w:id="1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C0E3737"/>
    <w:multiLevelType w:val="singleLevel"/>
    <w:tmpl w:val="6C0E373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2E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2024-10-23T08:00:27Z</dcterms:created>
  <dc:creator>admin</dc:creator>
  <cp:lastModifiedBy>admin</cp:lastModifiedBy>
  <dcterms:modified xsi:type="dcterms:W3CDTF">2024-10-23T08:00:45Z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