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</w:pPr>
      <w:bookmarkStart w:id="0" w:name="_Toc128150133"/>
      <w:bookmarkStart w:id="1" w:name="_Toc25703"/>
      <w:bookmarkStart w:id="2" w:name="_Toc132190633"/>
      <w:bookmarkStart w:id="3" w:name="_Toc128151026"/>
      <w:bookmarkStart w:id="4" w:name="_Toc189"/>
      <w:bookmarkStart w:id="5" w:name="_Toc128397969"/>
      <w:bookmarkStart w:id="6" w:name="_Toc127820563"/>
      <w:bookmarkStart w:id="7" w:name="_Toc22387"/>
      <w:bookmarkStart w:id="8" w:name="_Toc128150777"/>
      <w:bookmarkStart w:id="9" w:name="_Toc30945"/>
      <w:bookmarkStart w:id="10" w:name="_Toc130887499"/>
      <w:bookmarkStart w:id="11" w:name="_Toc128470295"/>
      <w:bookmarkStart w:id="12" w:name="_Toc132186975"/>
      <w:bookmarkStart w:id="13" w:name="_Toc128154368"/>
      <w:bookmarkStart w:id="14" w:name="_Toc130888007"/>
      <w:bookmarkStart w:id="15" w:name="_Toc132191259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  <w:t>（均为实质性响应条款，不接受负偏离）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b/>
          <w:bCs w:val="0"/>
          <w:color w:val="auto"/>
          <w:kern w:val="0"/>
          <w:sz w:val="28"/>
          <w:szCs w:val="28"/>
          <w:highlight w:val="none"/>
          <w:u w:val="single"/>
          <w:lang w:val="zh-CN" w:eastAsia="zh-CN" w:bidi="ar-SA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0"/>
          <w:sz w:val="28"/>
          <w:szCs w:val="28"/>
          <w:highlight w:val="none"/>
          <w:u w:val="single"/>
          <w:lang w:val="zh-CN" w:eastAsia="zh-CN" w:bidi="ar-SA"/>
        </w:rPr>
        <w:t>（一）经济要求</w:t>
      </w:r>
    </w:p>
    <w:tbl>
      <w:tblPr>
        <w:tblStyle w:val="5"/>
        <w:tblW w:w="831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029"/>
        <w:gridCol w:w="4463"/>
        <w:gridCol w:w="13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4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4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4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4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4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4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4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4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4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4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</w:tbl>
    <w:p>
      <w:pPr>
        <w:pStyle w:val="7"/>
        <w:spacing w:line="560" w:lineRule="atLeast"/>
        <w:ind w:firstLine="56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二</w:t>
      </w: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）知识产权和保密要求</w:t>
      </w:r>
    </w:p>
    <w:p>
      <w:pPr>
        <w:pStyle w:val="7"/>
        <w:spacing w:line="560" w:lineRule="atLeast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1.投标供应商应当保证采购单位在使用该物资或其任何一部分时，不受第三方侵权指控。同时，投标供应商不得向第三方泄露采购机构提供的技术文件等材料。</w:t>
      </w:r>
    </w:p>
    <w:p>
      <w:pPr>
        <w:pStyle w:val="7"/>
        <w:spacing w:line="560" w:lineRule="atLeast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2.基于项目合同履行形成的知识产权和其他权益，其权属归采购单位所有，法律另有规定的除外。</w:t>
      </w:r>
    </w:p>
    <w:p>
      <w:pPr>
        <w:pStyle w:val="7"/>
        <w:spacing w:line="560" w:lineRule="atLeast"/>
        <w:ind w:firstLine="56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三</w:t>
      </w: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）其他</w:t>
      </w:r>
    </w:p>
    <w:p>
      <w:pPr>
        <w:pStyle w:val="7"/>
        <w:spacing w:line="560" w:lineRule="atLeast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中标企业在领取成交通知书前，设备及耗材最终谈判报价按附件1、2、3内容重新组价并签字盖章。</w:t>
      </w:r>
    </w:p>
    <w:p>
      <w:pPr>
        <w:pStyle w:val="7"/>
        <w:spacing w:line="560" w:lineRule="atLeast"/>
        <w:ind w:firstLine="560"/>
        <w:rPr>
          <w:rFonts w:hint="eastAsia" w:ascii="宋体" w:hAnsi="宋体" w:eastAsia="宋体" w:cs="Times New Roman"/>
          <w:bCs/>
          <w:color w:val="auto"/>
          <w:kern w:val="2"/>
          <w:sz w:val="28"/>
          <w:szCs w:val="28"/>
          <w:highlight w:val="none"/>
          <w:lang w:val="zh-CN" w:eastAsia="zh-CN" w:bidi="ar-SA"/>
        </w:rPr>
      </w:pPr>
    </w:p>
    <w:p>
      <w:pP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br w:type="page"/>
      </w:r>
    </w:p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1"/>
      <w:bookmarkEnd w:id="12"/>
      <w:bookmarkEnd w:id="13"/>
      <w:bookmarkEnd w:id="14"/>
      <w:bookmarkEnd w:id="15"/>
    </w:p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微生物培养仪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49.00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可对尿液、无菌体液等人体生物标本进行细菌培养，实时显示生长曲线，快速给出阴阳性结果和细菌计数结果。并可对体液或血培养阳性样本进行快速增菌，显示麦氏浊度，以制备鉴定和药敏所需的富集的细菌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  <w:highlight w:val="yellow"/>
              </w:rPr>
            </w:pPr>
            <w:r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  <w:t>NMPA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检测原理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激光散射技术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检测样本位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≥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60个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检测通道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30度和90度光或散射光检测通道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可设定阳性判断值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可根据需要自行设定阳性报警的判断值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细菌计数功能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显示样本生长曲线，并可计算原始样本中细菌数量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样本量：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体液、尿液、脑脊液≤500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lang w:bidi="ar"/>
              </w:rPr>
              <w:t>μ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麦氏浊度设定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显示麦氏浊度并可设定浊度提示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尿液报阴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≤5小时(≤30000cfu/ml</w:t>
            </w:r>
            <w:r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  <w:t>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体液报阴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≤8小时（≤50cfu/ml）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磁力搅拌增菌功能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恒温控制增菌功能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显示功能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彩色液晶触摸屏≥9英寸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主机一套；样本接种架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  <w:lang w:eastAsia="zh-CN" w:bidi="ar"/>
              </w:rPr>
              <w:t>一套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eastAsia="zh-CN"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（试剂）要求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封闭试剂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widowControl/>
              <w:spacing w:line="240" w:lineRule="exact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i w:val="0"/>
          <w:color w:val="auto"/>
          <w:kern w:val="0"/>
          <w:sz w:val="44"/>
          <w:szCs w:val="44"/>
          <w:highlight w:val="none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i w:val="0"/>
          <w:color w:val="auto"/>
          <w:kern w:val="0"/>
          <w:sz w:val="44"/>
          <w:szCs w:val="44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说明：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所投产品提供的耗材按医疗器械管理的，须提供相应的医疗器械注册证或备案凭证；</w:t>
      </w:r>
    </w:p>
    <w:p>
      <w:pPr>
        <w:pStyle w:val="2"/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所投产品提供的耗材非医疗器械管理的，须提供官方证明文件资料。</w:t>
      </w:r>
    </w:p>
    <w:p>
      <w:pPr>
        <w:pStyle w:val="4"/>
        <w:spacing w:before="156" w:beforeLines="50" w:after="156" w:afterLines="50" w:line="572" w:lineRule="exact"/>
        <w:ind w:firstLine="0" w:firstLineChars="0"/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微生物培养仪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微生物培养项目肉汤培养基（体液）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10000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50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微生物培养项目肉汤培养基（尿液）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15000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75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</w:tr>
    </w:tbl>
    <w:p>
      <w:bookmarkStart w:id="16" w:name="_GoBack"/>
      <w:bookmarkEnd w:id="1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24686F"/>
    <w:multiLevelType w:val="singleLevel"/>
    <w:tmpl w:val="8324686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24CAED2"/>
    <w:multiLevelType w:val="singleLevel"/>
    <w:tmpl w:val="B24CAE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E40DC12"/>
    <w:multiLevelType w:val="singleLevel"/>
    <w:tmpl w:val="DE40DC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8A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2024-11-02T07:24:54Z</dcterms:created>
  <dc:creator>DOCTOR</dc:creator>
  <cp:lastModifiedBy>DOCTOR</cp:lastModifiedBy>
  <dcterms:modified xsi:type="dcterms:W3CDTF">2024-11-02T07:25:29Z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