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</w:pPr>
      <w:bookmarkStart w:id="0" w:name="_Toc128397969"/>
      <w:bookmarkStart w:id="1" w:name="_Toc22387"/>
      <w:bookmarkStart w:id="2" w:name="_Toc128150133"/>
      <w:bookmarkStart w:id="3" w:name="_Toc128150777"/>
      <w:bookmarkStart w:id="4" w:name="_Toc25703"/>
      <w:bookmarkStart w:id="5" w:name="_Toc128151026"/>
      <w:bookmarkStart w:id="6" w:name="_Toc132190633"/>
      <w:bookmarkStart w:id="7" w:name="_Toc189"/>
      <w:bookmarkStart w:id="8" w:name="_Toc127820563"/>
      <w:bookmarkStart w:id="9" w:name="_Toc30945"/>
      <w:bookmarkStart w:id="10" w:name="_Toc130887499"/>
      <w:bookmarkStart w:id="11" w:name="_Toc14773"/>
      <w:bookmarkStart w:id="12" w:name="_Toc128150778"/>
      <w:bookmarkStart w:id="13" w:name="_Toc127820564"/>
      <w:bookmarkStart w:id="14" w:name="_Toc128150134"/>
      <w:bookmarkStart w:id="15" w:name="_Toc128397970"/>
      <w:bookmarkStart w:id="16" w:name="_Toc128151027"/>
      <w:bookmarkStart w:id="17" w:name="_Toc130887500"/>
      <w:bookmarkStart w:id="18" w:name="_Toc13219063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（均为实质性响应条款，不接受负偏离）</w:t>
      </w:r>
      <w:bookmarkEnd w:id="11"/>
    </w:p>
    <w:p>
      <w:pPr>
        <w:pStyle w:val="7"/>
        <w:spacing w:line="560" w:lineRule="exact"/>
        <w:ind w:firstLine="560"/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一）经济要求</w:t>
      </w:r>
    </w:p>
    <w:tbl>
      <w:tblPr>
        <w:tblStyle w:val="5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043"/>
        <w:gridCol w:w="4337"/>
        <w:gridCol w:w="1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2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4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</w:tbl>
    <w:p>
      <w:pPr>
        <w:numPr>
          <w:ilvl w:val="0"/>
          <w:numId w:val="0"/>
        </w:numPr>
        <w:rPr>
          <w:b w:val="0"/>
          <w:bCs w:val="0"/>
        </w:rPr>
      </w:pPr>
    </w:p>
    <w:p>
      <w:pPr>
        <w:pStyle w:val="7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firstLine="560"/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其他</w:t>
      </w:r>
    </w:p>
    <w:p>
      <w:pPr>
        <w:pStyle w:val="4"/>
        <w:spacing w:after="0" w:line="560" w:lineRule="exact"/>
        <w:ind w:firstLine="560" w:firstLineChars="200"/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若最终按照比照竞争性谈判实施采购，</w:t>
      </w:r>
      <w:r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zh-CN" w:eastAsia="zh-CN" w:bidi="ar-SA"/>
        </w:rPr>
        <w:t>中标企业在领取成交通知书前，设备及耗材最终谈判报价按附件</w:t>
      </w:r>
      <w:r>
        <w:rPr>
          <w:rFonts w:hint="eastAsia" w:ascii="宋体" w:hAnsi="宋体" w:eastAsia="宋体" w:cs="Times New Roman"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1、2、3内容重新组价并签字盖章。</w:t>
      </w:r>
    </w:p>
    <w:p>
      <w:pPr>
        <w:rPr>
          <w:rFonts w:hint="eastAsia"/>
          <w:color w:val="auto"/>
          <w:highlight w:val="none"/>
          <w:lang w:val="zh-CN" w:eastAsia="zh-CN"/>
        </w:rPr>
      </w:pPr>
    </w:p>
    <w:p>
      <w:pPr>
        <w:rPr>
          <w:rFonts w:hint="eastAsia"/>
          <w:color w:val="auto"/>
          <w:highlight w:val="none"/>
          <w:lang w:val="zh-CN" w:eastAsia="zh-CN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9" w:name="_Toc2927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outlineLvl w:val="1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9"/>
    </w:p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  <w:bookmarkStart w:id="20" w:name="_GoBack"/>
      <w:bookmarkEnd w:id="20"/>
    </w:p>
    <w:p>
      <w:pPr>
        <w:numPr>
          <w:ilvl w:val="0"/>
          <w:numId w:val="0"/>
        </w:numPr>
        <w:ind w:leftChars="200"/>
      </w:pPr>
    </w:p>
    <w:bookmarkEnd w:id="12"/>
    <w:bookmarkEnd w:id="13"/>
    <w:bookmarkEnd w:id="14"/>
    <w:bookmarkEnd w:id="15"/>
    <w:bookmarkEnd w:id="16"/>
    <w:bookmarkEnd w:id="17"/>
    <w:bookmarkEnd w:id="18"/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896"/>
        <w:gridCol w:w="544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全自动微生物质谱检测系统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适用于细菌与真菌的鉴定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工作温度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15℃～30℃；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相对湿度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20%-70%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微生物鉴定质量范围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1-1000Kda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微生物鉴定质量分辨率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≥3600FWHM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微生物鉴定质量灵敏度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≥50fmol/μL胰岛素或人纤维蛋白肽B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微生物鉴定质量准确度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≤200ppm（外校准）；≤150ppm（内校准）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飞行时间管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具备温度补偿功能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激光器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氮气激光器，激光频率1-60Hz可调，激光寿命≥1亿次轰击次数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数据采集频率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≥1Gsps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负离子硬件模块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具备，可用于脂质检测、与疾病相关的磷酸化蛋白的检测、耐药菌分析以及部分疑难菌区分；且设备高压电源支持±电压输出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真空泵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内置无油真空泵，无需添加泵油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获取检测报告所需时间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≤15min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操作软件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具备数据采集、数据处理、微生物数据库的图谱离线分析处理及检索功能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中文操作界面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聚类分析功能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具备，包含主成分分析、进化树分析、主坐标分析等算法，算法多者优先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菌种AI智能分析软件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具备，可用于微生物种以下的分型分析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鉴定结果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需包含质谱结果和常见病原菌形态学图谱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数据库菌种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菌种数≥2000种，可用于大肠杆菌及志贺菌鉴定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科研数据库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具备，且菌种≥4000种，可即时更新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自建库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丝状真菌数据库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≥350种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分枝杆菌数据库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≥100种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单个霉菌样本前处理时间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微生物管理专家软件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具备，可整合质谱、药敏鉴定数据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核酸质谱解决方案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可升级核酸质谱检测系统，支持分枝杆菌耐药检测、心血管类疾病精准用药，基础前处理试剂具备NMPA注册证或备案证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彩页或说明书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28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具备系统故障报警及安全报警提醒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29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质谱仪主机 1台、国产电脑1台、操作系统1套、条形码扫描器 1套、UPS及打印机各1套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企业承诺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配套耗材试剂要求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widowControl/>
              <w:spacing w:line="240" w:lineRule="exact"/>
              <w:ind w:firstLine="400" w:firstLineChars="200"/>
              <w:jc w:val="both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方正小标宋简体" w:hAnsi="方正小标宋简体" w:eastAsia="方正小标宋简体" w:cs="方正小标宋简体"/>
          <w:b/>
          <w:i w:val="0"/>
          <w:color w:val="auto"/>
          <w:kern w:val="0"/>
          <w:sz w:val="40"/>
          <w:szCs w:val="4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方正小标宋简体" w:hAnsi="方正小标宋简体" w:eastAsia="方正小标宋简体" w:cs="方正小标宋简体"/>
          <w:b/>
          <w:i w:val="0"/>
          <w:color w:val="auto"/>
          <w:kern w:val="0"/>
          <w:sz w:val="40"/>
          <w:szCs w:val="40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i w:val="0"/>
          <w:color w:val="auto"/>
          <w:kern w:val="0"/>
          <w:sz w:val="40"/>
          <w:szCs w:val="40"/>
          <w:highlight w:val="none"/>
          <w:u w:val="none"/>
          <w:lang w:val="en-US" w:eastAsia="zh-CN" w:bidi="ar"/>
        </w:rPr>
        <w:t>耗材参数表：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所投产品提供的耗材按医疗器械管理的，须提供相应的医疗器械注册证或备案凭证；</w:t>
      </w:r>
    </w:p>
    <w:p>
      <w:pPr>
        <w:pStyle w:val="2"/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所投产品提供的耗材非医疗器械管理的，须提供官方证明文件资料。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全自动微生物质谱检测系统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质谱系统样本处理基质溶液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21900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6.57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质谱系统微生物样本预处理试剂盒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3650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2.19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质谱系统霉菌样本预处理试剂盒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1460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2.92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质谱系统血培养阳性样本预处理试剂盒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1460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3.50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质谱系统样本预处理溶液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21900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5.26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1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微生物质谱鉴定仪用校准品（专用，可用ATCC25922标准菌株替代）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0.56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bidi="ar"/>
              </w:rPr>
              <w:t>不锈钢靶板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1块/盒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0.20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可重复清洗使用，厚度0.6mm以上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40DC12"/>
    <w:multiLevelType w:val="singleLevel"/>
    <w:tmpl w:val="DE40DC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ACCD1B"/>
    <w:multiLevelType w:val="singleLevel"/>
    <w:tmpl w:val="3EACCD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A7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2024-11-02T07:33:38Z</dcterms:created>
  <dc:creator>DOCTOR</dc:creator>
  <cp:lastModifiedBy>DOCTOR</cp:lastModifiedBy>
  <dcterms:modified xsi:type="dcterms:W3CDTF">2024-11-02T07:33:44Z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