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激光扫描共聚焦显微镜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满足组织和细胞中荧光标记分子检测和信号定量分析的设备。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bookmarkStart w:id="0" w:name="OLE_LINK4" w:colFirst="0" w:colLast="5"/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激光光源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至少配置四根固体激光器，其中405nm</w:t>
            </w:r>
            <w:bookmarkStart w:id="1" w:name="OLE_LINK1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，488nm</w:t>
            </w:r>
            <w:bookmarkEnd w:id="1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，561nm</w:t>
            </w:r>
            <w:bookmarkStart w:id="2" w:name="OLE_LINK3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激发波长</w:t>
            </w:r>
            <w:bookmarkEnd w:id="2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的激光器各一根，630nm以上激发波长的激光器一根，每个激光器带独立开关及波长标记，最大功率≥10mW。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ascii="黑体" w:hAnsi="黑体" w:eastAsia="黑体" w:cs="黑体"/>
                <w:color w:val="0070C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70C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cs="黑体"/>
                <w:i/>
                <w:iCs/>
                <w:color w:val="0070C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可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采用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多种扫描模式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，任意区域扫描，任意角度扫描。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扫描变倍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光学扫描最高变倍不低于6x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，且连续可调。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zh-CN"/>
              </w:rPr>
              <w:t>扫描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视野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18</w:t>
            </w:r>
            <w:r>
              <w:rPr>
                <w:rFonts w:hint="eastAsia" w:ascii="黑体" w:hAnsi="宋体" w:eastAsia="黑体" w:cs="黑体"/>
                <w:i/>
                <w:iCs/>
                <w:sz w:val="20"/>
                <w:lang w:val="zh-CN"/>
              </w:rPr>
              <w:t>mm，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最高扫描分辨率不低于2048x2048像素。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标准模式下≥6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帧/秒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（512×512像素）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配置高灵敏度荧光检测器，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透射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光监测器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可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进行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四通道同时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成像。多色同时成像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时可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保证精准的光谱分离，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能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避免串色现象的发生。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倒置显微镜物镜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物镜一对，至少配置4个专用干镜，其中物镜倍数10x，数值孔径N.A.≥0.32；物镜倍数20x，数值孔径N.A.≥0.75。配置60x以上（包含60x）专用油镜，数值孔径N.A.≥1.40。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倒置显微镜荧光功能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配置高功率四色LED荧光光源，波长分别为具备紫外、蓝色、绿色、红色四个独立LED光源，通过软件可实现毫秒级快速切换激发，光强0-100%可调。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电控部件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电动控制Z轴、电动物镜转盘、电动滤色镜转盘、电动切换观察方式。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投射照明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微软雅黑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LED光照明，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保证100%均匀亮度，带有系列滤光镜包括色温片、绿色镜、隔热片、衰减片等。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智能化光路设置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通过选择样品的染料标记，提供多种光路配置模式，一键自动设置所有的光路。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自动聚焦模块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自动寻找样品中的最佳聚焦位置，适用于透射光、反射光和荧光。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全电动扫描台，最大速度不能低于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30mm/s。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标本架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trike/>
                <w:color w:val="FF0000"/>
                <w:sz w:val="16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安装专用适配器，可用于直径35 mm的玻璃底培养皿，载玻片，小室载玻片(8孔型)等。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预扫描功能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zh-CN"/>
              </w:rPr>
              <w:t>可以自动、快速设定扫描参数，减少荧光淬灭。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分析软件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trike/>
                <w:color w:val="FF0000"/>
                <w:sz w:val="16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操作界面简单，可包含中文或英文界面或引导式软件界面，方便实验人员分析及处理数据，且软件支持离线数据分析。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多功能测量分析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trike/>
                <w:color w:val="FF0000"/>
                <w:sz w:val="16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可对图象进行深度分析处理（包括共定位分析），具有自动测量、记数、统计、测量功能。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3D成像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trike/>
                <w:color w:val="FF0000"/>
                <w:sz w:val="16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可3D成像，旋转，不同切面观察，通过3D图像渲染，实现三维空间的距离和角度测量。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激光器系统一套，扫描检测系统一套，全电动倒置显微镜一台，计算机工作站一台。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图像采集分析工作站及配套软件一套。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专业共聚焦显微镜防震台一套（电动/手动）。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综合实力1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产品生产企业为高新技术企业。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综合实力2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描述产品生产企业规模（厂房面积和与产品相匹配的生产设备数量说明书）。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提供不少于4人次、5天的工程师维修培训。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维修响应时间≤6小时，维修到达现场时间≤48小时。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保密要求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☑公开招标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☑综合评分法    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.★及▲标识的指标，采购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ViY2JkMjU3NGYzZTEwMzZmMGFkZWViYmNkYWU3NDIifQ=="/>
  </w:docVars>
  <w:rsids>
    <w:rsidRoot w:val="4CD80CA4"/>
    <w:rsid w:val="00BC2B24"/>
    <w:rsid w:val="00CB159D"/>
    <w:rsid w:val="00F87061"/>
    <w:rsid w:val="0F534534"/>
    <w:rsid w:val="2304113B"/>
    <w:rsid w:val="4CD80CA4"/>
    <w:rsid w:val="66B67578"/>
    <w:rsid w:val="6C481435"/>
    <w:rsid w:val="7CBB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397</Words>
  <Characters>2268</Characters>
  <Lines>18</Lines>
  <Paragraphs>5</Paragraphs>
  <TotalTime>1</TotalTime>
  <ScaleCrop>false</ScaleCrop>
  <LinksUpToDate>false</LinksUpToDate>
  <CharactersWithSpaces>2660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2024-08-23T09:21:00Z</dcterms:created>
  <dc:creator>Dragon</dc:creator>
  <cp:lastModifiedBy>DOCTOR</cp:lastModifiedBy>
  <dcterms:modified xsi:type="dcterms:W3CDTF">2024-11-04T09:16:50Z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F8722910695948318491DC4CA0489089_11</vt:lpwstr>
  </property>
</Properties>
</file>