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pacing w:before="0" w:after="0" w:line="560" w:lineRule="exact"/>
        <w:ind w:firstLine="560" w:firstLineChars="200"/>
        <w:rPr>
          <w:rFonts w:ascii="黑体" w:hAnsi="黑体" w:cs="黑体"/>
          <w:b w:val="0"/>
          <w:color w:val="auto"/>
          <w:sz w:val="28"/>
          <w:szCs w:val="28"/>
          <w:highlight w:val="none"/>
        </w:rPr>
      </w:pPr>
      <w:bookmarkStart w:id="0" w:name="_Toc22387"/>
      <w:bookmarkStart w:id="1" w:name="_Toc130887499"/>
      <w:bookmarkStart w:id="2" w:name="_Toc128151026"/>
      <w:bookmarkStart w:id="3" w:name="_Toc128150777"/>
      <w:bookmarkStart w:id="4" w:name="_Toc127820563"/>
      <w:bookmarkStart w:id="5" w:name="_Toc128397969"/>
      <w:bookmarkStart w:id="6" w:name="_Toc25703"/>
      <w:bookmarkStart w:id="7" w:name="_Toc30945"/>
      <w:bookmarkStart w:id="8" w:name="_Toc128150133"/>
      <w:bookmarkStart w:id="9" w:name="_Toc132190633"/>
      <w:bookmarkStart w:id="10" w:name="_Toc189"/>
      <w:r>
        <w:rPr>
          <w:rFonts w:hint="eastAsia" w:ascii="黑体" w:hAnsi="黑体" w:cs="黑体"/>
          <w:b w:val="0"/>
          <w:color w:val="auto"/>
          <w:sz w:val="28"/>
          <w:szCs w:val="28"/>
          <w:highlight w:val="none"/>
        </w:rPr>
        <w:t>一、商务要求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r>
        <w:rPr>
          <w:rFonts w:hint="eastAsia" w:hAnsi="宋体"/>
          <w:bCs/>
          <w:color w:val="auto"/>
          <w:sz w:val="28"/>
          <w:szCs w:val="28"/>
          <w:highlight w:val="none"/>
          <w:lang w:val="en-US" w:eastAsia="zh-CN"/>
        </w:rPr>
        <w:t>(</w:t>
      </w:r>
      <w:r>
        <w:rPr>
          <w:rFonts w:hint="eastAsia" w:ascii="黑体" w:hAnsi="黑体" w:cs="黑体"/>
          <w:b w:val="0"/>
          <w:color w:val="auto"/>
          <w:sz w:val="28"/>
          <w:szCs w:val="28"/>
          <w:highlight w:val="none"/>
        </w:rPr>
        <w:t>商务要求</w:t>
      </w:r>
      <w:r>
        <w:rPr>
          <w:rFonts w:hint="eastAsia" w:ascii="黑体" w:hAnsi="黑体" w:cs="黑体"/>
          <w:b w:val="0"/>
          <w:color w:val="auto"/>
          <w:sz w:val="28"/>
          <w:szCs w:val="28"/>
          <w:highlight w:val="none"/>
          <w:lang w:val="en-US" w:eastAsia="zh-CN"/>
        </w:rPr>
        <w:t>均为实质性响应条款，不允许负偏离</w:t>
      </w:r>
      <w:r>
        <w:rPr>
          <w:rFonts w:hint="eastAsia" w:hAnsi="宋体"/>
          <w:bCs/>
          <w:color w:val="auto"/>
          <w:sz w:val="28"/>
          <w:szCs w:val="28"/>
          <w:highlight w:val="none"/>
          <w:lang w:val="en-US" w:eastAsia="zh-CN"/>
        </w:rPr>
        <w:t>)</w:t>
      </w:r>
    </w:p>
    <w:tbl>
      <w:tblPr>
        <w:tblStyle w:val="4"/>
        <w:tblW w:w="8740" w:type="dxa"/>
        <w:tblInd w:w="0" w:type="dxa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82"/>
        <w:gridCol w:w="1510"/>
        <w:gridCol w:w="5266"/>
        <w:gridCol w:w="982"/>
      </w:tblGrid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65" w:hRule="atLeast"/>
        </w:trPr>
        <w:tc>
          <w:tcPr>
            <w:tcW w:w="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需求名称</w:t>
            </w:r>
          </w:p>
        </w:tc>
        <w:tc>
          <w:tcPr>
            <w:tcW w:w="52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需求具体内容</w:t>
            </w:r>
          </w:p>
        </w:tc>
        <w:tc>
          <w:tcPr>
            <w:tcW w:w="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备注（证明材料等其他要求）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4" w:hRule="atLeast"/>
        </w:trPr>
        <w:tc>
          <w:tcPr>
            <w:tcW w:w="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交货时间、交货地点</w:t>
            </w:r>
          </w:p>
        </w:tc>
        <w:tc>
          <w:tcPr>
            <w:tcW w:w="52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合同签订后3个月内交付，交付地点由甲方指定。</w:t>
            </w:r>
          </w:p>
        </w:tc>
        <w:tc>
          <w:tcPr>
            <w:tcW w:w="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4" w:hRule="atLeast"/>
        </w:trPr>
        <w:tc>
          <w:tcPr>
            <w:tcW w:w="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付款及结算方式</w:t>
            </w:r>
          </w:p>
        </w:tc>
        <w:tc>
          <w:tcPr>
            <w:tcW w:w="52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签订合同付（预付）0%，物资到货（服务完成）验收后付95%。</w:t>
            </w:r>
          </w:p>
        </w:tc>
        <w:tc>
          <w:tcPr>
            <w:tcW w:w="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4" w:hRule="atLeast"/>
        </w:trPr>
        <w:tc>
          <w:tcPr>
            <w:tcW w:w="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履约保证金/质量保证金</w:t>
            </w:r>
          </w:p>
        </w:tc>
        <w:tc>
          <w:tcPr>
            <w:tcW w:w="52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验收合格后满3年无质量问题支付剩余5%（不超过5%）</w:t>
            </w:r>
          </w:p>
        </w:tc>
        <w:tc>
          <w:tcPr>
            <w:tcW w:w="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3" w:hRule="atLeast"/>
        </w:trPr>
        <w:tc>
          <w:tcPr>
            <w:tcW w:w="98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售后服务1</w:t>
            </w:r>
          </w:p>
        </w:tc>
        <w:tc>
          <w:tcPr>
            <w:tcW w:w="526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保修年限≥3年，全年故障停机时间不高于5%（按365日/年计算)。</w:t>
            </w:r>
          </w:p>
        </w:tc>
        <w:tc>
          <w:tcPr>
            <w:tcW w:w="98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原厂授权（企业承诺）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8" w:hRule="atLeast"/>
        </w:trPr>
        <w:tc>
          <w:tcPr>
            <w:tcW w:w="98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（质保）</w:t>
            </w:r>
          </w:p>
        </w:tc>
        <w:tc>
          <w:tcPr>
            <w:tcW w:w="526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8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8" w:hRule="atLeast"/>
        </w:trPr>
        <w:tc>
          <w:tcPr>
            <w:tcW w:w="98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售后服务2</w:t>
            </w:r>
          </w:p>
        </w:tc>
        <w:tc>
          <w:tcPr>
            <w:tcW w:w="526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保修期内免费提供定期维护保养服务，免费升级和维护软件，免费提供使用培训。</w:t>
            </w:r>
          </w:p>
        </w:tc>
        <w:tc>
          <w:tcPr>
            <w:tcW w:w="98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8" w:hRule="atLeast"/>
        </w:trPr>
        <w:tc>
          <w:tcPr>
            <w:tcW w:w="98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（质保）</w:t>
            </w:r>
          </w:p>
        </w:tc>
        <w:tc>
          <w:tcPr>
            <w:tcW w:w="526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8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8" w:hRule="atLeast"/>
        </w:trPr>
        <w:tc>
          <w:tcPr>
            <w:tcW w:w="98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售后服务3</w:t>
            </w:r>
          </w:p>
        </w:tc>
        <w:tc>
          <w:tcPr>
            <w:tcW w:w="526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提供使用培训和工程师培训</w:t>
            </w:r>
          </w:p>
        </w:tc>
        <w:tc>
          <w:tcPr>
            <w:tcW w:w="98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8" w:hRule="atLeast"/>
        </w:trPr>
        <w:tc>
          <w:tcPr>
            <w:tcW w:w="98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（质保）</w:t>
            </w:r>
          </w:p>
        </w:tc>
        <w:tc>
          <w:tcPr>
            <w:tcW w:w="526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8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8" w:hRule="atLeast"/>
        </w:trPr>
        <w:tc>
          <w:tcPr>
            <w:tcW w:w="98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售后服务4</w:t>
            </w:r>
          </w:p>
        </w:tc>
        <w:tc>
          <w:tcPr>
            <w:tcW w:w="526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维修响应时间≤0.5小时，维修到达现场时间≤24小时。</w:t>
            </w:r>
          </w:p>
        </w:tc>
        <w:tc>
          <w:tcPr>
            <w:tcW w:w="98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8" w:hRule="atLeast"/>
        </w:trPr>
        <w:tc>
          <w:tcPr>
            <w:tcW w:w="98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（响应时间）</w:t>
            </w:r>
          </w:p>
        </w:tc>
        <w:tc>
          <w:tcPr>
            <w:tcW w:w="526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8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4" w:hRule="atLeast"/>
        </w:trPr>
        <w:tc>
          <w:tcPr>
            <w:tcW w:w="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备品备件要求（零配件）</w:t>
            </w:r>
          </w:p>
        </w:tc>
        <w:tc>
          <w:tcPr>
            <w:tcW w:w="52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由供应商承诺项目使用寿命周期内保证零配件供应。</w:t>
            </w:r>
          </w:p>
        </w:tc>
        <w:tc>
          <w:tcPr>
            <w:tcW w:w="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8" w:hRule="atLeast"/>
        </w:trPr>
        <w:tc>
          <w:tcPr>
            <w:tcW w:w="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专用工具</w:t>
            </w:r>
          </w:p>
        </w:tc>
        <w:tc>
          <w:tcPr>
            <w:tcW w:w="52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描述应提供的配套专修工具和使用工具。</w:t>
            </w:r>
          </w:p>
        </w:tc>
        <w:tc>
          <w:tcPr>
            <w:tcW w:w="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7" w:hRule="atLeast"/>
        </w:trPr>
        <w:tc>
          <w:tcPr>
            <w:tcW w:w="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物资编目编码、打码贴签要求</w:t>
            </w:r>
          </w:p>
        </w:tc>
        <w:tc>
          <w:tcPr>
            <w:tcW w:w="52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应当按照统一要求在物资交付前完成打码贴签工作。</w:t>
            </w:r>
          </w:p>
        </w:tc>
        <w:tc>
          <w:tcPr>
            <w:tcW w:w="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</w:tbl>
    <w:p>
      <w:pPr>
        <w:pStyle w:val="6"/>
        <w:spacing w:line="560" w:lineRule="exact"/>
        <w:ind w:firstLine="560"/>
        <w:rPr>
          <w:rFonts w:hint="eastAsia" w:eastAsia="宋体"/>
          <w:bCs/>
          <w:sz w:val="28"/>
          <w:szCs w:val="28"/>
          <w:highlight w:val="none"/>
          <w:lang w:eastAsia="zh-CN"/>
        </w:rPr>
      </w:pPr>
      <w:r>
        <w:rPr>
          <w:rFonts w:hAnsi="宋体"/>
          <w:bCs/>
          <w:sz w:val="28"/>
          <w:szCs w:val="28"/>
          <w:highlight w:val="none"/>
          <w:lang w:val="zh-CN"/>
        </w:rPr>
        <w:t>（</w:t>
      </w:r>
      <w:r>
        <w:rPr>
          <w:rFonts w:hint="eastAsia" w:hAnsi="宋体"/>
          <w:bCs/>
          <w:sz w:val="28"/>
          <w:szCs w:val="28"/>
          <w:highlight w:val="none"/>
          <w:lang w:eastAsia="zh-CN"/>
        </w:rPr>
        <w:t>二</w:t>
      </w:r>
      <w:r>
        <w:rPr>
          <w:rFonts w:hAnsi="宋体"/>
          <w:bCs/>
          <w:sz w:val="28"/>
          <w:szCs w:val="28"/>
          <w:highlight w:val="none"/>
          <w:lang w:val="zh-CN"/>
        </w:rPr>
        <w:t>）</w:t>
      </w:r>
      <w:r>
        <w:rPr>
          <w:rFonts w:hint="eastAsia" w:hAnsi="宋体"/>
          <w:bCs/>
          <w:sz w:val="28"/>
          <w:szCs w:val="28"/>
          <w:highlight w:val="none"/>
        </w:rPr>
        <w:t>知识产权</w:t>
      </w:r>
      <w:r>
        <w:rPr>
          <w:rFonts w:hAnsi="宋体"/>
          <w:bCs/>
          <w:sz w:val="28"/>
          <w:szCs w:val="28"/>
          <w:highlight w:val="none"/>
        </w:rPr>
        <w:t>和保密要求</w:t>
      </w:r>
    </w:p>
    <w:p>
      <w:pPr>
        <w:pStyle w:val="6"/>
        <w:spacing w:line="560" w:lineRule="exact"/>
        <w:ind w:firstLine="560"/>
        <w:rPr>
          <w:bCs/>
          <w:sz w:val="28"/>
          <w:szCs w:val="28"/>
          <w:highlight w:val="none"/>
          <w:lang w:val="zh-CN"/>
        </w:rPr>
      </w:pPr>
      <w:r>
        <w:rPr>
          <w:rFonts w:hint="eastAsia"/>
          <w:bCs/>
          <w:sz w:val="28"/>
          <w:szCs w:val="28"/>
          <w:highlight w:val="none"/>
          <w:lang w:val="zh-CN"/>
        </w:rPr>
        <w:t>报价供应商应当保证采购单位在使用该物资或其任何一部分时，不受第三方侵权指控。同时，报价供应商不得向第三方泄露采购机构提供的技术文件等</w:t>
      </w:r>
      <w:r>
        <w:rPr>
          <w:rFonts w:hint="eastAsia" w:ascii="宋体" w:hAnsi="宋体"/>
          <w:bCs/>
          <w:sz w:val="28"/>
          <w:szCs w:val="28"/>
          <w:highlight w:val="none"/>
        </w:rPr>
        <w:t>材料</w:t>
      </w:r>
      <w:r>
        <w:rPr>
          <w:rFonts w:hint="eastAsia"/>
          <w:bCs/>
          <w:sz w:val="28"/>
          <w:szCs w:val="28"/>
          <w:highlight w:val="none"/>
          <w:lang w:val="zh-CN"/>
        </w:rPr>
        <w:t>。</w:t>
      </w:r>
    </w:p>
    <w:p>
      <w:pPr>
        <w:pStyle w:val="6"/>
        <w:spacing w:line="560" w:lineRule="exact"/>
        <w:ind w:firstLine="560"/>
        <w:rPr>
          <w:rFonts w:hint="eastAsia"/>
          <w:bCs/>
          <w:sz w:val="28"/>
          <w:szCs w:val="28"/>
          <w:highlight w:val="none"/>
          <w:lang w:val="zh-CN"/>
        </w:rPr>
      </w:pPr>
      <w:r>
        <w:rPr>
          <w:rFonts w:hint="eastAsia"/>
          <w:bCs/>
          <w:sz w:val="28"/>
          <w:szCs w:val="28"/>
          <w:highlight w:val="none"/>
          <w:lang w:val="zh-CN"/>
        </w:rPr>
        <w:t>基于项目合同履行形成的知识产权和其他权益，其权属归采购单位所有，法律另有规定的除外。</w:t>
      </w:r>
    </w:p>
    <w:p>
      <w:pPr>
        <w:pStyle w:val="6"/>
        <w:numPr>
          <w:ilvl w:val="0"/>
          <w:numId w:val="1"/>
        </w:numPr>
        <w:spacing w:line="560" w:lineRule="exact"/>
        <w:ind w:firstLine="560"/>
        <w:rPr>
          <w:rFonts w:hint="eastAsia" w:hAnsi="宋体"/>
          <w:bCs/>
          <w:sz w:val="28"/>
          <w:szCs w:val="28"/>
          <w:highlight w:val="none"/>
          <w:lang w:val="en-US" w:eastAsia="zh-CN"/>
        </w:rPr>
      </w:pPr>
      <w:r>
        <w:rPr>
          <w:rFonts w:hint="eastAsia" w:hAnsi="宋体"/>
          <w:bCs/>
          <w:sz w:val="28"/>
          <w:szCs w:val="28"/>
          <w:highlight w:val="none"/>
          <w:lang w:val="en-US" w:eastAsia="zh-CN"/>
        </w:rPr>
        <w:t>物资编目编码、打码贴签要求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宋体" w:hAnsi="宋体"/>
          <w:bCs/>
          <w:color w:val="auto"/>
          <w:sz w:val="28"/>
          <w:szCs w:val="28"/>
          <w:highlight w:val="none"/>
          <w:lang w:val="zh-CN"/>
        </w:rPr>
      </w:pPr>
      <w:r>
        <w:rPr>
          <w:rFonts w:hint="eastAsia" w:ascii="Times New Roman" w:hAnsi="Times New Roman" w:eastAsia="宋体" w:cs="Times New Roman"/>
          <w:bCs/>
          <w:kern w:val="0"/>
          <w:sz w:val="28"/>
          <w:szCs w:val="28"/>
          <w:highlight w:val="none"/>
          <w:lang w:val="en-US" w:eastAsia="zh-CN" w:bidi="ar-SA"/>
        </w:rPr>
        <w:t>本项目对物资的编目编码、打码贴签要求，报价供应商应当予以明确响应，相关费用包含在报价中</w:t>
      </w:r>
      <w:r>
        <w:rPr>
          <w:rFonts w:hint="eastAsia"/>
          <w:bCs/>
          <w:sz w:val="28"/>
          <w:szCs w:val="28"/>
          <w:highlight w:val="none"/>
          <w:lang w:val="en-US" w:eastAsia="zh-CN"/>
        </w:rPr>
        <w:t>。</w:t>
      </w:r>
      <w:r>
        <w:rPr>
          <w:rFonts w:hint="eastAsia" w:ascii="宋体" w:hAnsi="宋体"/>
          <w:bCs/>
          <w:color w:val="auto"/>
          <w:sz w:val="28"/>
          <w:szCs w:val="28"/>
          <w:highlight w:val="none"/>
          <w:lang w:val="zh-CN"/>
        </w:rPr>
        <w:br w:type="page"/>
      </w:r>
    </w:p>
    <w:p>
      <w:pPr>
        <w:pStyle w:val="3"/>
        <w:numPr>
          <w:ilvl w:val="0"/>
          <w:numId w:val="2"/>
        </w:numPr>
        <w:spacing w:before="0" w:after="0" w:line="560" w:lineRule="exact"/>
        <w:ind w:firstLine="560" w:firstLineChars="200"/>
        <w:rPr>
          <w:rFonts w:hint="eastAsia" w:ascii="黑体" w:hAnsi="黑体" w:cs="黑体"/>
          <w:b w:val="0"/>
          <w:color w:val="auto"/>
          <w:sz w:val="28"/>
          <w:szCs w:val="28"/>
          <w:highlight w:val="none"/>
        </w:rPr>
      </w:pPr>
      <w:bookmarkStart w:id="11" w:name="_Toc128397970"/>
      <w:bookmarkStart w:id="12" w:name="_Toc128150134"/>
      <w:bookmarkStart w:id="13" w:name="_Toc128150778"/>
      <w:bookmarkStart w:id="14" w:name="_Toc132190634"/>
      <w:bookmarkStart w:id="15" w:name="_Toc127820564"/>
      <w:bookmarkStart w:id="16" w:name="_Toc130887500"/>
      <w:bookmarkStart w:id="17" w:name="_Toc128151027"/>
      <w:r>
        <w:rPr>
          <w:rFonts w:hint="eastAsia" w:ascii="黑体" w:hAnsi="黑体" w:cs="黑体"/>
          <w:b w:val="0"/>
          <w:color w:val="auto"/>
          <w:sz w:val="28"/>
          <w:szCs w:val="28"/>
          <w:highlight w:val="none"/>
        </w:rPr>
        <w:t>技术要求</w:t>
      </w:r>
      <w:bookmarkEnd w:id="11"/>
      <w:bookmarkEnd w:id="12"/>
      <w:bookmarkEnd w:id="13"/>
      <w:bookmarkEnd w:id="14"/>
      <w:bookmarkEnd w:id="15"/>
      <w:bookmarkEnd w:id="16"/>
      <w:bookmarkEnd w:id="17"/>
    </w:p>
    <w:tbl>
      <w:tblPr>
        <w:tblStyle w:val="4"/>
        <w:tblW w:w="9400" w:type="dxa"/>
        <w:tblInd w:w="0" w:type="dxa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63"/>
        <w:gridCol w:w="1325"/>
        <w:gridCol w:w="863"/>
        <w:gridCol w:w="3283"/>
        <w:gridCol w:w="1341"/>
        <w:gridCol w:w="863"/>
        <w:gridCol w:w="862"/>
      </w:tblGrid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8" w:hRule="atLeast"/>
        </w:trPr>
        <w:tc>
          <w:tcPr>
            <w:tcW w:w="305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项目名称：根管治疗机</w:t>
            </w:r>
          </w:p>
        </w:tc>
        <w:tc>
          <w:tcPr>
            <w:tcW w:w="328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项目编号：2024-JQ06-W1378</w:t>
            </w:r>
          </w:p>
        </w:tc>
        <w:tc>
          <w:tcPr>
            <w:tcW w:w="306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采购数量：32台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8" w:hRule="atLeast"/>
        </w:trPr>
        <w:tc>
          <w:tcPr>
            <w:tcW w:w="86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1325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需求名称</w:t>
            </w:r>
          </w:p>
        </w:tc>
        <w:tc>
          <w:tcPr>
            <w:tcW w:w="863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参数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性质</w:t>
            </w:r>
          </w:p>
        </w:tc>
        <w:tc>
          <w:tcPr>
            <w:tcW w:w="4624" w:type="dxa"/>
            <w:gridSpan w:val="2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需求具体内容</w:t>
            </w:r>
          </w:p>
        </w:tc>
        <w:tc>
          <w:tcPr>
            <w:tcW w:w="863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是否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量化</w:t>
            </w:r>
          </w:p>
        </w:tc>
        <w:tc>
          <w:tcPr>
            <w:tcW w:w="862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备注（证明材料等其他要求）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8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25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63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624" w:type="dxa"/>
            <w:gridSpan w:val="2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63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62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9400" w:type="dxa"/>
            <w:gridSpan w:val="7"/>
            <w:tcBorders>
              <w:top w:val="single" w:color="auto" w:sz="4" w:space="0"/>
              <w:left w:val="single" w:color="000000" w:sz="8" w:space="0"/>
              <w:bottom w:val="nil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技术要求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0" w:hRule="atLeast"/>
        </w:trPr>
        <w:tc>
          <w:tcPr>
            <w:tcW w:w="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基本要求</w:t>
            </w:r>
          </w:p>
        </w:tc>
        <w:tc>
          <w:tcPr>
            <w:tcW w:w="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62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根管扩大治疗及根管长度测量</w:t>
            </w:r>
          </w:p>
        </w:tc>
        <w:tc>
          <w:tcPr>
            <w:tcW w:w="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2" w:hRule="atLeast"/>
        </w:trPr>
        <w:tc>
          <w:tcPr>
            <w:tcW w:w="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资质认证</w:t>
            </w:r>
          </w:p>
        </w:tc>
        <w:tc>
          <w:tcPr>
            <w:tcW w:w="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62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具备CFDA认证,CE或FDA认证</w:t>
            </w:r>
          </w:p>
        </w:tc>
        <w:tc>
          <w:tcPr>
            <w:tcW w:w="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注册证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、认证书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7" w:hRule="atLeast"/>
        </w:trPr>
        <w:tc>
          <w:tcPr>
            <w:tcW w:w="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根尖报警点可调范围</w:t>
            </w:r>
          </w:p>
        </w:tc>
        <w:tc>
          <w:tcPr>
            <w:tcW w:w="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462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2-APEX</w:t>
            </w:r>
          </w:p>
        </w:tc>
        <w:tc>
          <w:tcPr>
            <w:tcW w:w="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产品彩页或说明书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7" w:hRule="atLeast"/>
        </w:trPr>
        <w:tc>
          <w:tcPr>
            <w:tcW w:w="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测量时无需校对</w:t>
            </w:r>
          </w:p>
        </w:tc>
        <w:tc>
          <w:tcPr>
            <w:tcW w:w="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62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具备</w:t>
            </w:r>
          </w:p>
        </w:tc>
        <w:tc>
          <w:tcPr>
            <w:tcW w:w="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7" w:hRule="atLeast"/>
        </w:trPr>
        <w:tc>
          <w:tcPr>
            <w:tcW w:w="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根管锉接近根尖时报警</w:t>
            </w:r>
          </w:p>
        </w:tc>
        <w:tc>
          <w:tcPr>
            <w:tcW w:w="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62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具备</w:t>
            </w:r>
          </w:p>
        </w:tc>
        <w:tc>
          <w:tcPr>
            <w:tcW w:w="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7" w:hRule="atLeast"/>
        </w:trPr>
        <w:tc>
          <w:tcPr>
            <w:tcW w:w="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马达往复旋转</w:t>
            </w:r>
          </w:p>
        </w:tc>
        <w:tc>
          <w:tcPr>
            <w:tcW w:w="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462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具备</w:t>
            </w:r>
          </w:p>
        </w:tc>
        <w:tc>
          <w:tcPr>
            <w:tcW w:w="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7" w:hRule="atLeast"/>
        </w:trPr>
        <w:tc>
          <w:tcPr>
            <w:tcW w:w="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1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机器搭载存储器数量</w:t>
            </w:r>
          </w:p>
        </w:tc>
        <w:tc>
          <w:tcPr>
            <w:tcW w:w="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62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≥5个</w:t>
            </w:r>
          </w:p>
        </w:tc>
        <w:tc>
          <w:tcPr>
            <w:tcW w:w="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7" w:hRule="atLeast"/>
        </w:trPr>
        <w:tc>
          <w:tcPr>
            <w:tcW w:w="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1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根管马达和根管测量仪联动功能</w:t>
            </w:r>
          </w:p>
        </w:tc>
        <w:tc>
          <w:tcPr>
            <w:tcW w:w="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62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具备</w:t>
            </w:r>
          </w:p>
        </w:tc>
        <w:tc>
          <w:tcPr>
            <w:tcW w:w="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7" w:hRule="atLeast"/>
        </w:trPr>
        <w:tc>
          <w:tcPr>
            <w:tcW w:w="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1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可以显示根管锉在根管内的位置</w:t>
            </w:r>
          </w:p>
        </w:tc>
        <w:tc>
          <w:tcPr>
            <w:tcW w:w="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62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</w:t>
            </w:r>
          </w:p>
        </w:tc>
        <w:tc>
          <w:tcPr>
            <w:tcW w:w="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7" w:hRule="atLeast"/>
        </w:trPr>
        <w:tc>
          <w:tcPr>
            <w:tcW w:w="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进入根管后自动开始功能</w:t>
            </w:r>
          </w:p>
        </w:tc>
        <w:tc>
          <w:tcPr>
            <w:tcW w:w="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62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</w:t>
            </w:r>
          </w:p>
        </w:tc>
        <w:tc>
          <w:tcPr>
            <w:tcW w:w="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7" w:hRule="atLeast"/>
        </w:trPr>
        <w:tc>
          <w:tcPr>
            <w:tcW w:w="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1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离开根管后自动停止功能</w:t>
            </w:r>
          </w:p>
        </w:tc>
        <w:tc>
          <w:tcPr>
            <w:tcW w:w="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62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具备</w:t>
            </w:r>
          </w:p>
        </w:tc>
        <w:tc>
          <w:tcPr>
            <w:tcW w:w="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7" w:hRule="atLeast"/>
        </w:trPr>
        <w:tc>
          <w:tcPr>
            <w:tcW w:w="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1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根管锉到达根尖马达动作方式</w:t>
            </w:r>
          </w:p>
        </w:tc>
        <w:tc>
          <w:tcPr>
            <w:tcW w:w="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62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≥3种，至少包含1.停止，马达停止转速；2.反转，马达反转；3.马达会先反转半圈到一圈，然后停止</w:t>
            </w:r>
          </w:p>
        </w:tc>
        <w:tc>
          <w:tcPr>
            <w:tcW w:w="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产品彩页或说明书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7" w:hRule="atLeast"/>
        </w:trPr>
        <w:tc>
          <w:tcPr>
            <w:tcW w:w="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</w:t>
            </w:r>
          </w:p>
        </w:tc>
        <w:tc>
          <w:tcPr>
            <w:tcW w:w="1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手机头内置电池</w:t>
            </w:r>
          </w:p>
        </w:tc>
        <w:tc>
          <w:tcPr>
            <w:tcW w:w="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62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具备</w:t>
            </w:r>
          </w:p>
        </w:tc>
        <w:tc>
          <w:tcPr>
            <w:tcW w:w="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7" w:hRule="atLeast"/>
        </w:trPr>
        <w:tc>
          <w:tcPr>
            <w:tcW w:w="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</w:t>
            </w:r>
          </w:p>
        </w:tc>
        <w:tc>
          <w:tcPr>
            <w:tcW w:w="1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弯机头材质</w:t>
            </w:r>
          </w:p>
        </w:tc>
        <w:tc>
          <w:tcPr>
            <w:tcW w:w="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62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外部树脂，内部为不锈钢材质</w:t>
            </w:r>
          </w:p>
        </w:tc>
        <w:tc>
          <w:tcPr>
            <w:tcW w:w="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7" w:hRule="atLeast"/>
        </w:trPr>
        <w:tc>
          <w:tcPr>
            <w:tcW w:w="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1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马达和测量仪联动时，无需绝缘橡胶套</w:t>
            </w:r>
          </w:p>
        </w:tc>
        <w:tc>
          <w:tcPr>
            <w:tcW w:w="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62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</w:t>
            </w:r>
          </w:p>
        </w:tc>
        <w:tc>
          <w:tcPr>
            <w:tcW w:w="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78" w:hRule="atLeast"/>
        </w:trPr>
        <w:tc>
          <w:tcPr>
            <w:tcW w:w="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</w:t>
            </w:r>
          </w:p>
        </w:tc>
        <w:tc>
          <w:tcPr>
            <w:tcW w:w="1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配置要求</w:t>
            </w:r>
          </w:p>
        </w:tc>
        <w:tc>
          <w:tcPr>
            <w:tcW w:w="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62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根管治疗机32台，每台包含：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主机1台 、测试线1条 、根管针支架3个、口角挂钩3个、根管治疗手机1支、充电器1套、座充1个、使用说明书1套。</w:t>
            </w:r>
          </w:p>
        </w:tc>
        <w:tc>
          <w:tcPr>
            <w:tcW w:w="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78" w:hRule="atLeast"/>
        </w:trPr>
        <w:tc>
          <w:tcPr>
            <w:tcW w:w="86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</w:t>
            </w:r>
          </w:p>
        </w:tc>
        <w:tc>
          <w:tcPr>
            <w:tcW w:w="132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验收标准方法</w:t>
            </w:r>
          </w:p>
        </w:tc>
        <w:tc>
          <w:tcPr>
            <w:tcW w:w="86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62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按照投标文件、采购合同、质量标准等，组织对医疗设备进行质量验收，出具验收报告。验收过程中对于核心参数存疑需检测的，可委托地方具有相应检测能力的机构提供技术支持，费用由投标方承担。</w:t>
            </w:r>
          </w:p>
        </w:tc>
        <w:tc>
          <w:tcPr>
            <w:tcW w:w="86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6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7" w:hRule="atLeast"/>
        </w:trPr>
        <w:tc>
          <w:tcPr>
            <w:tcW w:w="940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▲标识的指标负偏离≥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项，投标企业技术分值为0分；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▲标识的指标和“无标识”指标负偏离≥1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项；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/>
                <w:color w:val="auto"/>
                <w:lang w:val="en-US"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>★指标为必须响应指标，任意一项不满足要求即做废标处理;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/>
                <w:color w:val="auto"/>
                <w:lang w:val="en-US" w:eastAsia="zh-CN"/>
              </w:rPr>
              <w:t>★和▲标识的指标均需投标企业提供证明材料、此表未明确要求证明材料类型的投标企业可提供有效的证明材料。</w:t>
            </w:r>
            <w:bookmarkStart w:id="18" w:name="_GoBack"/>
            <w:bookmarkEnd w:id="18"/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0B021A7"/>
    <w:multiLevelType w:val="singleLevel"/>
    <w:tmpl w:val="E0B021A7"/>
    <w:lvl w:ilvl="0" w:tentative="0">
      <w:start w:val="3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34B88EB3"/>
    <w:multiLevelType w:val="singleLevel"/>
    <w:tmpl w:val="34B88EB3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74950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1"/>
    <w:qFormat/>
    <w:uiPriority w:val="0"/>
    <w:pPr>
      <w:keepNext/>
      <w:keepLines/>
      <w:spacing w:before="260" w:after="260" w:line="416" w:lineRule="auto"/>
      <w:outlineLvl w:val="2"/>
    </w:pPr>
    <w:rPr>
      <w:rFonts w:eastAsia="黑体"/>
      <w:b/>
      <w:bCs/>
      <w:sz w:val="32"/>
      <w:szCs w:val="32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黑体" w:hAnsi="Times New Roman" w:eastAsia="黑体" w:cs="Times New Roman"/>
      <w:lang w:val="en-US" w:eastAsia="zh-CN" w:bidi="ar-SA"/>
    </w:rPr>
  </w:style>
  <w:style w:type="paragraph" w:customStyle="1" w:styleId="6">
    <w:name w:val="列出段落1"/>
    <w:basedOn w:val="1"/>
    <w:qFormat/>
    <w:uiPriority w:val="0"/>
    <w:pPr>
      <w:ind w:firstLine="420" w:firstLineChars="200"/>
    </w:pPr>
    <w:rPr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Office_11.3.0.8775_F1E327BC-269C-435d-A152-05C5408002CA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2024-11-05T07:12:59Z</dcterms:created>
  <dc:creator>admin</dc:creator>
  <cp:lastModifiedBy>admin</cp:lastModifiedBy>
  <dcterms:modified xsi:type="dcterms:W3CDTF">2024-11-05T07:14:38Z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2052-11.3.0.8775</vt:lpwstr>
  </property>
</Properties>
</file>