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192"/>
        <w:gridCol w:w="978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连续性血液净化设备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50（2台）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3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适用于急性、慢性肾功能不全患者的肾替代治疗</w:t>
            </w:r>
            <w:r>
              <w:rPr>
                <w:rFonts w:ascii="黑体" w:hAnsi="宋体" w:cs="黑体"/>
                <w:iCs/>
                <w:sz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100" w:firstLineChars="50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具备NMPA(CFDA)认证和CE认证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见注册证或CE证书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屏幕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≥10英寸显示屏，中文操作界面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治疗模式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具备缓慢连续性超滤（SCUF）、连续性静脉静脉血液透析滤过（CVVHDF）、连续性静脉静脉血液滤过（CVVH）、连续性静脉静脉血液透析（CVVHD）、血液灌流（HP）、血浆置换（TPE）等治疗模式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技术白皮书或彩页或说明书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稀释模式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在CVVH和CVVHDF模式下，可单独进行前或后稀释，或前后稀释同时进行，可随时改变比例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泵数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≥6个（5个蠕动泵+1个肝素泵）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加热方式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采用血液加温方式，加温范围≥（35-41）℃，精度≤0.5℃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安装管路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所有治疗模式均可采用一套管路完成，改变治疗模式无需更换管路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最大血液流速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≥400ml/min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置换液速度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≥(0-7000)ml/h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透析液速度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≥(0-7000)ml/h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气泡检测功能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具备超声气泡检测功能，可以自动去除治疗过程中的气泡，避免凝血。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压力检测功能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可检测动脉压力、静脉压力、滤器前压力、滤出液压力、跨膜压、滤器下降压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动脉压检测范围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≥(-200mmHg～+400mmHg)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见说明书或彩页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静脉压检测范围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≥(-50mmHg～+300mmHg)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滤器前压力检测范围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≥(-50mmHg～+400mmHg)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滤过液压力检测范围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≥(-300mmHg～+400mmHg)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肝素泵抗凝模式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具备连续模式，（0～20）ml/h 可调，精度≤0.2ml/h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枸橼酸抗凝模式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可实现全自动枸橼酸抗凝模式，无需外接动力系统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说明书或企业承诺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≥4秤，至少包含置换液秤和废液秤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再循环功能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具备，可保证在病人长时间脱机或转移后使用同一套管路恢复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漏液监测功能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漏血检测功能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剂量计算功能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内置电池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具备，持续时间≥10分钟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治疗数据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可以调阅及下载病人治疗数据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条形码阅读器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具备设备监测指标异常、设备故障、必要提示，声光报警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配置需求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一体化主机2台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封闭耗材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物资到货（服务完成）验收后付9</w:t>
            </w:r>
            <w:r>
              <w:rPr>
                <w:rFonts w:ascii="黑体" w:hAnsi="宋体" w:eastAsia="黑体" w:cs="黑体"/>
                <w:kern w:val="0"/>
                <w:sz w:val="20"/>
              </w:rPr>
              <w:t>5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维修响应时间≤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24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小时内，维修到达现场时间≤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48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</w:tbl>
    <w:p/>
    <w:p>
      <w:pPr>
        <w:widowControl/>
        <w:jc w:val="left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br w:type="page"/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7650"/>
        <w:gridCol w:w="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99" w:hRule="atLeast"/>
        </w:trPr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</w:tc>
      </w:tr>
    </w:tbl>
    <w:p>
      <w:pPr>
        <w:widowControl/>
        <w:jc w:val="left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pStyle w:val="2"/>
        <w:spacing w:before="156" w:beforeLines="50" w:after="156" w:afterLines="50" w:line="572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bookmarkStart w:id="0" w:name="_GoBack"/>
      <w:bookmarkEnd w:id="0"/>
    </w:p>
    <w:p>
      <w:pPr>
        <w:pStyle w:val="2"/>
        <w:spacing w:before="156" w:beforeLines="50" w:after="156" w:afterLines="50" w:line="572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pStyle w:val="2"/>
        <w:spacing w:before="156" w:beforeLines="50" w:after="156" w:afterLines="50" w:line="572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pStyle w:val="2"/>
        <w:spacing w:before="156" w:beforeLines="50" w:after="156" w:afterLines="50" w:line="572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pStyle w:val="2"/>
        <w:spacing w:before="156" w:beforeLines="50" w:after="156" w:afterLines="50" w:line="572" w:lineRule="exact"/>
        <w:ind w:firstLine="0" w:firstLineChars="0"/>
        <w:jc w:val="center"/>
        <w:rPr>
          <w:rFonts w:ascii="黑体" w:hAnsi="黑体" w:eastAsia="黑体" w:cs="黑体"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101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52"/>
        <w:gridCol w:w="1118"/>
        <w:gridCol w:w="18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连续性血液净化设备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采购计划编号</w:t>
            </w:r>
          </w:p>
        </w:tc>
        <w:tc>
          <w:tcPr>
            <w:tcW w:w="4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2024-03YL-001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9026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iCs/>
                <w:kern w:val="0"/>
                <w:sz w:val="20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一次性使用血液透析滤过器及配套管路（连续性肾脏替代治疗）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滤过器和管路一体化设计或分体式设计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6</w:t>
            </w:r>
            <w:r>
              <w:rPr>
                <w:rFonts w:ascii="宋体" w:hAnsi="宋体" w:cs="宋体"/>
                <w:b/>
                <w:bCs/>
                <w:sz w:val="20"/>
              </w:rPr>
              <w:t>0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套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</w:t>
            </w:r>
            <w:r>
              <w:rPr>
                <w:rFonts w:ascii="宋体" w:hAnsi="宋体" w:cs="宋体"/>
                <w:b/>
                <w:bCs/>
                <w:sz w:val="20"/>
              </w:rPr>
              <w:t>4.4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若滤器和管理分体式设计，则按滤过器60，管路60报价，滤过器和管路总共限价14.4万元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E3561"/>
    <w:rsid w:val="00024FAE"/>
    <w:rsid w:val="000D5076"/>
    <w:rsid w:val="001222DA"/>
    <w:rsid w:val="00135ABD"/>
    <w:rsid w:val="0014651A"/>
    <w:rsid w:val="00186272"/>
    <w:rsid w:val="00235B2E"/>
    <w:rsid w:val="002458E8"/>
    <w:rsid w:val="003A5BF8"/>
    <w:rsid w:val="003B4A2F"/>
    <w:rsid w:val="003C1F2B"/>
    <w:rsid w:val="003C3D18"/>
    <w:rsid w:val="00407505"/>
    <w:rsid w:val="00413FA0"/>
    <w:rsid w:val="00422374"/>
    <w:rsid w:val="00463BAC"/>
    <w:rsid w:val="00540416"/>
    <w:rsid w:val="00581805"/>
    <w:rsid w:val="0084092F"/>
    <w:rsid w:val="008E427C"/>
    <w:rsid w:val="00936605"/>
    <w:rsid w:val="009A4A64"/>
    <w:rsid w:val="009E1B5B"/>
    <w:rsid w:val="00A142B3"/>
    <w:rsid w:val="00A53275"/>
    <w:rsid w:val="00AE3561"/>
    <w:rsid w:val="00B266C3"/>
    <w:rsid w:val="00C65695"/>
    <w:rsid w:val="00D216F8"/>
    <w:rsid w:val="0D657528"/>
    <w:rsid w:val="0D966C05"/>
    <w:rsid w:val="0E6F2543"/>
    <w:rsid w:val="117E28E1"/>
    <w:rsid w:val="11A05639"/>
    <w:rsid w:val="12363005"/>
    <w:rsid w:val="13266164"/>
    <w:rsid w:val="1CCE7AB2"/>
    <w:rsid w:val="269229DA"/>
    <w:rsid w:val="2DBB4EE2"/>
    <w:rsid w:val="2E6A29C8"/>
    <w:rsid w:val="35FE1009"/>
    <w:rsid w:val="49271ED7"/>
    <w:rsid w:val="4A705805"/>
    <w:rsid w:val="4ADC165C"/>
    <w:rsid w:val="4E6062B0"/>
    <w:rsid w:val="520A528F"/>
    <w:rsid w:val="5D1443D4"/>
    <w:rsid w:val="647877DF"/>
    <w:rsid w:val="71A3629D"/>
    <w:rsid w:val="752E6FA5"/>
    <w:rsid w:val="78283BBC"/>
    <w:rsid w:val="7A690FC1"/>
    <w:rsid w:val="7F040D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333333"/>
      <w:sz w:val="22"/>
      <w:szCs w:val="22"/>
      <w:u w:val="none"/>
    </w:rPr>
  </w:style>
  <w:style w:type="character" w:customStyle="1" w:styleId="13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1274</Words>
  <Characters>1569</Characters>
  <Lines>92</Lines>
  <Paragraphs>91</Paragraphs>
  <TotalTime>25</TotalTime>
  <ScaleCrop>false</ScaleCrop>
  <LinksUpToDate>false</LinksUpToDate>
  <CharactersWithSpaces>2752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2024-01-02T09:10:00Z</dcterms:created>
  <dc:creator>裴育苗</dc:creator>
  <cp:lastModifiedBy>nyl</cp:lastModifiedBy>
  <cp:lastPrinted>2024-08-12T11:28:00Z</cp:lastPrinted>
  <dcterms:modified xsi:type="dcterms:W3CDTF">2024-11-07T01:32:42Z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6CC4A14B82BC4BAE9A3BBE9C766FC5F9</vt:lpwstr>
  </property>
</Properties>
</file>