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3" w:type="dxa"/>
        <w:jc w:val="center"/>
        <w:tblInd w:w="91" w:type="dxa"/>
        <w:tblLook w:val="04A0"/>
      </w:tblPr>
      <w:tblGrid>
        <w:gridCol w:w="443"/>
        <w:gridCol w:w="374"/>
        <w:gridCol w:w="993"/>
        <w:gridCol w:w="479"/>
        <w:gridCol w:w="371"/>
        <w:gridCol w:w="851"/>
        <w:gridCol w:w="4815"/>
        <w:gridCol w:w="500"/>
        <w:gridCol w:w="446"/>
        <w:gridCol w:w="47"/>
        <w:gridCol w:w="904"/>
      </w:tblGrid>
      <w:tr w:rsidR="0035436E" w:rsidRPr="0035436E" w:rsidTr="0035436E">
        <w:trPr>
          <w:trHeight w:val="20"/>
          <w:jc w:val="center"/>
        </w:trPr>
        <w:tc>
          <w:tcPr>
            <w:tcW w:w="10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36E" w:rsidRPr="0035436E" w:rsidRDefault="0035436E" w:rsidP="00C857B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35436E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C857B0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857B0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2024-JQ06-F5063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富士蓝光加长肠镜CC-760R-V/I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99.6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10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适配富士内窥镜VP-7000主机，用于直肠、乙状结肠、大肠的观察、诊断和治疗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具备医疗器械注册证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医疗器械注册证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图像传感器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百万像素CMOS图像传感器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特殊光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具备≥4种的特殊光观察模式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视野方向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0°（直视）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视野角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≥170°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观察景深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≥（2-100）mm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先端部直径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≤12.0mm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软性部直径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≤12.0mm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弯曲角度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上：≥180°、下：≥180°、左≥160°、右≥160°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钳道直径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≥3.8mm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工作长度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≥1520mm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全长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≥1840mm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前射水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硬度可调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精准传导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顺应插入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电子下消化道内窥镜（加长肠镜）数量2根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配套耗材</w:t>
            </w: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（试剂）要求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非封闭耗材（试剂）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厂家承诺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10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合同签订后</w:t>
            </w: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3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个月内交付，交付地点由甲方指定。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签订合同付（预付）</w:t>
            </w: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0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%，物资到货（服务完成）验收后付9</w:t>
            </w: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5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%。验收合格后满1年无质量问题支付剩余5%（不超过5%）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保修年限不低于</w:t>
            </w: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2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年，全年故障停机时间不高于5%（按365日/年计算)。故障停机每超出1天，按两倍时间延保。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原厂授权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w w:val="90"/>
                <w:kern w:val="0"/>
                <w:sz w:val="20"/>
                <w:szCs w:val="20"/>
              </w:rPr>
              <w:t>(企业承诺)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提供不少于</w:t>
            </w: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2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人次、</w:t>
            </w: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1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天的工程师维修培训。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维修响应时间≤</w:t>
            </w: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2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小时，维修到达现场时间≤</w:t>
            </w: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8</w:t>
            </w: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小时。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FF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FF0000"/>
                <w:kern w:val="0"/>
                <w:sz w:val="20"/>
                <w:szCs w:val="20"/>
              </w:rPr>
              <w:t>由供应商承诺设备零配件供应≥8年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物资编目编码、打码贴</w:t>
            </w:r>
            <w:proofErr w:type="gramStart"/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签要求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10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84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35436E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需具备医疗器械生产或者经营的许可证或者备案凭证</w:t>
            </w:r>
          </w:p>
        </w:tc>
      </w:tr>
      <w:tr w:rsidR="0035436E" w:rsidRPr="0035436E" w:rsidTr="0035436E">
        <w:trPr>
          <w:trHeight w:val="20"/>
          <w:jc w:val="center"/>
        </w:trPr>
        <w:tc>
          <w:tcPr>
            <w:tcW w:w="10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6E" w:rsidRPr="00E063C9" w:rsidRDefault="0035436E" w:rsidP="0035436E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35436E" w:rsidRPr="0035436E" w:rsidRDefault="0035436E" w:rsidP="0035436E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Pr="0035436E" w:rsidRDefault="003649D2" w:rsidP="00C857B0">
      <w:pPr>
        <w:adjustRightInd w:val="0"/>
        <w:snapToGrid w:val="0"/>
        <w:spacing w:line="60" w:lineRule="exact"/>
      </w:pPr>
    </w:p>
    <w:sectPr w:rsidR="003649D2" w:rsidRPr="0035436E" w:rsidSect="00C857B0">
      <w:pgSz w:w="11906" w:h="16838"/>
      <w:pgMar w:top="1134" w:right="1800" w:bottom="567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436E"/>
    <w:rsid w:val="001A31B9"/>
    <w:rsid w:val="0035436E"/>
    <w:rsid w:val="003649D2"/>
    <w:rsid w:val="004A39F5"/>
    <w:rsid w:val="005A4649"/>
    <w:rsid w:val="00C85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210</Words>
  <Characters>1197</Characters>
  <Application>Microsoft Office Word</Application>
  <DocSecurity>0</DocSecurity>
  <Lines>9</Lines>
  <Paragraphs>2</Paragraphs>
  <ScaleCrop>false</ScaleCrop>
  <Company>惠普(中国)股份有限公司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2024-10-26T08:20:00Z</dcterms:created>
  <dcterms:modified xsi:type="dcterms:W3CDTF">2024-10-26T08:36:00Z</dcterms:modified>
</cp:coreProperties>
</file>