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7BC" w:rsidRPr="004417A5" w:rsidRDefault="001A4585" w:rsidP="005D6A8B">
      <w:pPr>
        <w:overflowPunct w:val="0"/>
        <w:spacing w:beforeLines="50" w:afterLines="50" w:line="572" w:lineRule="exact"/>
        <w:jc w:val="center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 w:rsidRPr="004417A5"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采购需求表（物资类）</w:t>
      </w:r>
    </w:p>
    <w:tbl>
      <w:tblPr>
        <w:tblW w:w="10006" w:type="dxa"/>
        <w:jc w:val="center"/>
        <w:tblLayout w:type="fixed"/>
        <w:tblLook w:val="04A0"/>
      </w:tblPr>
      <w:tblGrid>
        <w:gridCol w:w="444"/>
        <w:gridCol w:w="373"/>
        <w:gridCol w:w="992"/>
        <w:gridCol w:w="426"/>
        <w:gridCol w:w="458"/>
        <w:gridCol w:w="709"/>
        <w:gridCol w:w="4678"/>
        <w:gridCol w:w="283"/>
        <w:gridCol w:w="425"/>
        <w:gridCol w:w="426"/>
        <w:gridCol w:w="792"/>
      </w:tblGrid>
      <w:tr w:rsidR="009147BC" w:rsidRPr="004417A5" w:rsidTr="004F4C3C">
        <w:trPr>
          <w:trHeight w:val="20"/>
          <w:jc w:val="center"/>
        </w:trPr>
        <w:tc>
          <w:tcPr>
            <w:tcW w:w="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7A5" w:rsidRPr="004417A5" w:rsidRDefault="004417A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项目</w:t>
            </w:r>
          </w:p>
          <w:p w:rsidR="009147BC" w:rsidRPr="004417A5" w:rsidRDefault="004417A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编号</w:t>
            </w:r>
          </w:p>
        </w:tc>
        <w:tc>
          <w:tcPr>
            <w:tcW w:w="1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47BC" w:rsidRPr="004417A5" w:rsidRDefault="004417A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/>
                <w:sz w:val="20"/>
              </w:rPr>
              <w:t>2024-JQ06-W5047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417A5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项目</w:t>
            </w:r>
          </w:p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/>
                <w:b/>
                <w:kern w:val="0"/>
                <w:sz w:val="20"/>
                <w:lang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名称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sz w:val="20"/>
              </w:rPr>
              <w:t>药物重复递送人工耳蜗电极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7A5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最高限价</w:t>
            </w:r>
          </w:p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（万元）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sz w:val="20"/>
              </w:rPr>
              <w:t>50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 w:hint="eastAsia"/>
                <w:b/>
                <w:sz w:val="20"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序号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需求名称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参数</w:t>
            </w:r>
          </w:p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 w:hint="eastAsia"/>
                <w:b/>
                <w:sz w:val="20"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性质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 w:hint="eastAsia"/>
                <w:b/>
                <w:sz w:val="20"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需求具体内容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是否</w:t>
            </w:r>
          </w:p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 w:hint="eastAsia"/>
                <w:b/>
                <w:sz w:val="20"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量化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 w:hint="eastAsia"/>
                <w:b/>
                <w:sz w:val="20"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备注</w:t>
            </w:r>
          </w:p>
        </w:tc>
      </w:tr>
      <w:tr w:rsidR="009147BC" w:rsidRPr="004417A5" w:rsidTr="004417A5">
        <w:trPr>
          <w:trHeight w:val="20"/>
          <w:jc w:val="center"/>
        </w:trPr>
        <w:tc>
          <w:tcPr>
            <w:tcW w:w="100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技术要求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1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基本要求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★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1、人工耳蜗体内部分由接收线圈、蜗外平板电极、刺激器、蜗外环状电极、蜗内电极阵列、内磁铁及微流泵（储药仓）构成。蜗内电极置于耳蜗内，微流泵负责重复递送药物。</w:t>
            </w:r>
          </w:p>
          <w:p w:rsidR="009147BC" w:rsidRPr="004417A5" w:rsidRDefault="001A4585" w:rsidP="004417A5">
            <w:pPr>
              <w:pStyle w:val="Default"/>
              <w:adjustRightInd w:val="0"/>
              <w:snapToGrid w:val="0"/>
              <w:ind w:leftChars="-50" w:left="-105" w:rightChars="-50" w:right="-105"/>
              <w:rPr>
                <w:rFonts w:asciiTheme="minorEastAsia" w:eastAsiaTheme="minorEastAsia" w:hAnsiTheme="minorEastAsia" w:cs="黑体"/>
                <w:i/>
                <w:iCs/>
                <w:sz w:val="20"/>
                <w:szCs w:val="20"/>
              </w:rPr>
            </w:pPr>
            <w:r w:rsidRPr="004417A5">
              <w:rPr>
                <w:rFonts w:asciiTheme="minorEastAsia" w:eastAsiaTheme="minorEastAsia" w:hAnsiTheme="minorEastAsia" w:cs="黑体"/>
                <w:sz w:val="20"/>
                <w:szCs w:val="20"/>
                <w:lang/>
              </w:rPr>
              <w:t>2、递送药物为地塞米松。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i/>
                <w:iCs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是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pStyle w:val="Default"/>
              <w:adjustRightInd w:val="0"/>
              <w:snapToGrid w:val="0"/>
              <w:ind w:leftChars="-50" w:left="-105" w:rightChars="-50" w:right="-105"/>
              <w:rPr>
                <w:rFonts w:asciiTheme="minorEastAsia" w:eastAsiaTheme="minorEastAsia" w:hAnsiTheme="minorEastAsia" w:hint="default"/>
                <w:w w:val="90"/>
                <w:sz w:val="20"/>
                <w:szCs w:val="20"/>
              </w:rPr>
            </w:pPr>
            <w:r w:rsidRPr="004417A5">
              <w:rPr>
                <w:rFonts w:asciiTheme="minorEastAsia" w:eastAsiaTheme="minorEastAsia" w:hAnsiTheme="minorEastAsia" w:cs="黑体"/>
                <w:color w:val="auto"/>
                <w:w w:val="90"/>
                <w:sz w:val="20"/>
                <w:szCs w:val="20"/>
                <w:lang/>
              </w:rPr>
              <w:t>样品检测报告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2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电极技术参数1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宋体" w:hint="eastAsia"/>
                <w:kern w:val="0"/>
                <w:sz w:val="20"/>
                <w:lang/>
              </w:rPr>
              <w:t>▲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F1033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/>
                <w:color w:val="000000"/>
                <w:kern w:val="0"/>
                <w:sz w:val="20"/>
              </w:rPr>
            </w:pPr>
            <w:r w:rsidRPr="004417A5">
              <w:rPr>
                <w:rFonts w:asciiTheme="minorEastAsia" w:eastAsiaTheme="minorEastAsia" w:hAnsiTheme="minorEastAsia" w:hint="eastAsia"/>
                <w:color w:val="000000"/>
                <w:kern w:val="0"/>
                <w:sz w:val="20"/>
              </w:rPr>
              <w:t>输出电流幅度范围：0~1900µA±</w:t>
            </w:r>
            <w:bookmarkStart w:id="0" w:name="_GoBack"/>
            <w:bookmarkEnd w:id="0"/>
            <w:r w:rsidR="00605FBB" w:rsidRPr="004417A5">
              <w:rPr>
                <w:rFonts w:asciiTheme="minorEastAsia" w:eastAsiaTheme="minorEastAsia" w:hAnsiTheme="minorEastAsia"/>
                <w:color w:val="000000"/>
                <w:kern w:val="0"/>
                <w:sz w:val="20"/>
              </w:rPr>
              <w:t>5%</w:t>
            </w:r>
            <w:r w:rsidRPr="004417A5">
              <w:rPr>
                <w:rFonts w:asciiTheme="minorEastAsia" w:eastAsiaTheme="minorEastAsia" w:hAnsiTheme="minorEastAsia" w:hint="eastAsia"/>
                <w:color w:val="000000"/>
                <w:kern w:val="0"/>
                <w:sz w:val="20"/>
              </w:rPr>
              <w:t>；最大的总刺激脉冲频率：50.0kHz±0.5kHz；刺激脉冲宽度4μs~425μs，≤15μs时误差±1μs，15μs~425μs时误差±10%；神经反应遥测用刺激脉冲宽度25μs~100μs，误差±10%；</w:t>
            </w:r>
            <w:r w:rsidR="001A4585" w:rsidRPr="004417A5">
              <w:rPr>
                <w:rFonts w:asciiTheme="minorEastAsia" w:eastAsiaTheme="minorEastAsia" w:hAnsiTheme="minorEastAsia" w:hint="eastAsia"/>
                <w:color w:val="000000"/>
                <w:kern w:val="0"/>
                <w:sz w:val="20"/>
              </w:rPr>
              <w:t>全植入式给药舱：数量不少于2 个，微流泵流速0.2~2μL/h；给药开口不少于6个。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是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w w:val="90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w w:val="90"/>
                <w:kern w:val="0"/>
                <w:sz w:val="20"/>
                <w:lang/>
              </w:rPr>
              <w:t>样品型检报告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3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电极技术参数2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宋体"/>
                <w:sz w:val="20"/>
              </w:rPr>
            </w:pPr>
            <w:r w:rsidRPr="004417A5">
              <w:rPr>
                <w:rFonts w:asciiTheme="minorEastAsia" w:eastAsiaTheme="minorEastAsia" w:hAnsiTheme="minorEastAsia" w:cs="宋体" w:hint="eastAsia"/>
                <w:kern w:val="0"/>
                <w:sz w:val="20"/>
                <w:lang/>
              </w:rPr>
              <w:t>▲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sz w:val="20"/>
              </w:rPr>
            </w:pPr>
            <w:r w:rsidRPr="004417A5">
              <w:rPr>
                <w:rFonts w:asciiTheme="minorEastAsia" w:eastAsiaTheme="minorEastAsia" w:hAnsiTheme="minorEastAsia"/>
                <w:sz w:val="20"/>
              </w:rPr>
              <w:t>触点数目</w:t>
            </w:r>
            <w:r w:rsidRPr="004417A5">
              <w:rPr>
                <w:rFonts w:asciiTheme="minorEastAsia" w:eastAsiaTheme="minorEastAsia" w:hAnsiTheme="minorEastAsia" w:hint="eastAsia"/>
                <w:sz w:val="20"/>
              </w:rPr>
              <w:t>：7-</w:t>
            </w:r>
            <w:r w:rsidRPr="004417A5">
              <w:rPr>
                <w:rFonts w:asciiTheme="minorEastAsia" w:eastAsiaTheme="minorEastAsia" w:hAnsiTheme="minorEastAsia"/>
                <w:color w:val="000000"/>
                <w:kern w:val="0"/>
                <w:sz w:val="20"/>
              </w:rPr>
              <w:t>24 个</w:t>
            </w:r>
            <w:r w:rsidRPr="004417A5">
              <w:rPr>
                <w:rFonts w:asciiTheme="minorEastAsia" w:eastAsiaTheme="minorEastAsia" w:hAnsiTheme="minorEastAsia" w:hint="eastAsia"/>
                <w:color w:val="000000"/>
                <w:kern w:val="0"/>
                <w:sz w:val="20"/>
              </w:rPr>
              <w:t>；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是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w w:val="90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w w:val="90"/>
                <w:kern w:val="0"/>
                <w:sz w:val="20"/>
                <w:lang/>
              </w:rPr>
              <w:t>样品型检报告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4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w w:val="90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w w:val="90"/>
                <w:kern w:val="0"/>
                <w:sz w:val="20"/>
                <w:lang/>
              </w:rPr>
              <w:t>储药仓技术指标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宋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宋体" w:hint="eastAsia"/>
                <w:kern w:val="0"/>
                <w:sz w:val="20"/>
                <w:lang/>
              </w:rPr>
              <w:t>▲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/>
                <w:color w:val="000000"/>
                <w:kern w:val="0"/>
                <w:sz w:val="20"/>
              </w:rPr>
            </w:pPr>
            <w:r w:rsidRPr="004417A5">
              <w:rPr>
                <w:rFonts w:asciiTheme="minorEastAsia" w:eastAsiaTheme="minorEastAsia" w:hAnsiTheme="minorEastAsia" w:hint="eastAsia"/>
                <w:color w:val="000000"/>
                <w:kern w:val="0"/>
                <w:sz w:val="20"/>
              </w:rPr>
              <w:t>钛合金固定件，生物材料药物递送仓，硅胶微流细管。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否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w w:val="90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w w:val="90"/>
                <w:kern w:val="0"/>
                <w:sz w:val="20"/>
                <w:lang/>
              </w:rPr>
              <w:t>样品型检报告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w w:val="90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w w:val="90"/>
                <w:kern w:val="0"/>
                <w:sz w:val="20"/>
                <w:lang/>
              </w:rPr>
              <w:t>植入体技术指标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宋体"/>
                <w:sz w:val="20"/>
              </w:rPr>
            </w:pPr>
            <w:r w:rsidRPr="004417A5">
              <w:rPr>
                <w:rFonts w:asciiTheme="minorEastAsia" w:eastAsiaTheme="minorEastAsia" w:hAnsiTheme="minorEastAsia" w:cs="宋体" w:hint="eastAsia"/>
                <w:kern w:val="0"/>
                <w:sz w:val="20"/>
                <w:lang/>
              </w:rPr>
              <w:t>▲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/>
                <w:color w:val="000000"/>
                <w:kern w:val="0"/>
                <w:sz w:val="20"/>
              </w:rPr>
            </w:pPr>
            <w:r w:rsidRPr="004417A5">
              <w:rPr>
                <w:rFonts w:asciiTheme="minorEastAsia" w:eastAsiaTheme="minorEastAsia" w:hAnsiTheme="minorEastAsia"/>
                <w:color w:val="000000"/>
                <w:kern w:val="0"/>
                <w:sz w:val="20"/>
              </w:rPr>
              <w:t>植入体重量和尺寸：植入体重量（不含磁铁和药仓等）9g ±</w:t>
            </w:r>
            <w:r w:rsidRPr="004417A5">
              <w:rPr>
                <w:rFonts w:asciiTheme="minorEastAsia" w:eastAsiaTheme="minorEastAsia" w:hAnsiTheme="minorEastAsia" w:hint="eastAsia"/>
                <w:color w:val="000000"/>
                <w:kern w:val="0"/>
                <w:sz w:val="20"/>
              </w:rPr>
              <w:t>2</w:t>
            </w:r>
            <w:r w:rsidRPr="004417A5">
              <w:rPr>
                <w:rFonts w:asciiTheme="minorEastAsia" w:eastAsiaTheme="minorEastAsia" w:hAnsiTheme="minorEastAsia"/>
                <w:color w:val="000000"/>
                <w:kern w:val="0"/>
                <w:sz w:val="20"/>
              </w:rPr>
              <w:t>g ，厚度为4.5mm±</w:t>
            </w:r>
            <w:r w:rsidRPr="004417A5">
              <w:rPr>
                <w:rFonts w:asciiTheme="minorEastAsia" w:eastAsiaTheme="minorEastAsia" w:hAnsiTheme="minorEastAsia" w:hint="eastAsia"/>
                <w:color w:val="000000"/>
                <w:kern w:val="0"/>
                <w:sz w:val="20"/>
              </w:rPr>
              <w:t>1.0</w:t>
            </w:r>
            <w:r w:rsidRPr="004417A5">
              <w:rPr>
                <w:rFonts w:asciiTheme="minorEastAsia" w:eastAsiaTheme="minorEastAsia" w:hAnsiTheme="minorEastAsia"/>
                <w:color w:val="000000"/>
                <w:kern w:val="0"/>
                <w:sz w:val="20"/>
              </w:rPr>
              <w:t>mm；接收线圈直径为30.0mm±</w:t>
            </w:r>
            <w:r w:rsidRPr="004417A5">
              <w:rPr>
                <w:rFonts w:asciiTheme="minorEastAsia" w:eastAsiaTheme="minorEastAsia" w:hAnsiTheme="minorEastAsia" w:hint="eastAsia"/>
                <w:color w:val="000000"/>
                <w:kern w:val="0"/>
                <w:sz w:val="20"/>
              </w:rPr>
              <w:t>3</w:t>
            </w:r>
            <w:r w:rsidRPr="004417A5">
              <w:rPr>
                <w:rFonts w:asciiTheme="minorEastAsia" w:eastAsiaTheme="minorEastAsia" w:hAnsiTheme="minorEastAsia"/>
                <w:color w:val="000000"/>
                <w:kern w:val="0"/>
                <w:sz w:val="20"/>
              </w:rPr>
              <w:t>.0mm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是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w w:val="90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w w:val="90"/>
                <w:kern w:val="0"/>
                <w:sz w:val="20"/>
                <w:lang/>
              </w:rPr>
              <w:t>样品型检报告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6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整体技术指标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9147BC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eastAsiaTheme="minorEastAsia" w:hAnsiTheme="minorEastAsia" w:cs="黑体"/>
                <w:sz w:val="20"/>
              </w:rPr>
            </w:pP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表面光滑、无锐角、无破损、无变形、无污渍。结构紧凑。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hint="eastAsia"/>
                <w:sz w:val="20"/>
              </w:rPr>
              <w:t>否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w w:val="90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w w:val="90"/>
                <w:kern w:val="0"/>
                <w:sz w:val="20"/>
                <w:lang/>
              </w:rPr>
              <w:t>样品型检报告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7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配置要求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宋体" w:hint="eastAsia"/>
                <w:kern w:val="0"/>
                <w:sz w:val="20"/>
                <w:lang/>
              </w:rPr>
              <w:t>▲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应当满足要求数量，并备2根备用载药电极，共12根。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是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企业承诺</w:t>
            </w:r>
          </w:p>
        </w:tc>
      </w:tr>
      <w:tr w:rsidR="009147BC" w:rsidRPr="004417A5" w:rsidTr="004417A5">
        <w:trPr>
          <w:trHeight w:val="20"/>
          <w:jc w:val="center"/>
        </w:trPr>
        <w:tc>
          <w:tcPr>
            <w:tcW w:w="100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经济要求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sz w:val="20"/>
              </w:rPr>
              <w:t>1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交货时间、交货地点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★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合同签订后5个月内交付，交付地点由甲方指定。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否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企业承诺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sz w:val="20"/>
                <w:lang/>
              </w:rPr>
              <w:t>2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w w:val="90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w w:val="90"/>
                <w:kern w:val="0"/>
                <w:sz w:val="20"/>
                <w:lang/>
              </w:rPr>
              <w:t>付款及结算方式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★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签订合同付（预付）30%，物资到货（服务完成）验收后付70%。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否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企业承诺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3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履约保证金/质量保证金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★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无。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否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企业承诺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sz w:val="20"/>
              </w:rPr>
              <w:t>4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产品包装和运输要求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宋体" w:hint="eastAsia"/>
                <w:kern w:val="0"/>
                <w:sz w:val="20"/>
                <w:lang/>
              </w:rPr>
              <w:t>▲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按照国家、行业相关标准规范，产品确保包装完好，运输确保不对产品造成损伤。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否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企业承诺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sz w:val="20"/>
              </w:rPr>
              <w:t>5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售后服务1</w:t>
            </w:r>
          </w:p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（质保）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★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保修年限不低于1年。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是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原厂授权</w:t>
            </w:r>
            <w:r w:rsid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(</w:t>
            </w: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企业承诺</w:t>
            </w:r>
            <w:r w:rsid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)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sz w:val="20"/>
              </w:rPr>
              <w:t>6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售后服务2</w:t>
            </w:r>
          </w:p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（质保）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★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保修期内免费提供定期维护保养服务，免费升级和维护软件，免费提供使用培训。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否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企业承诺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sz w:val="20"/>
              </w:rPr>
              <w:t>7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售后服务4</w:t>
            </w:r>
          </w:p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（响应时间）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▲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维修响应时间≤3小时，维修到达现场时间≤24小时。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是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企业承诺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sz w:val="20"/>
              </w:rPr>
              <w:t>8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知识产权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★</w:t>
            </w:r>
          </w:p>
        </w:tc>
        <w:tc>
          <w:tcPr>
            <w:tcW w:w="6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i/>
                <w:iCs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sz w:val="20"/>
              </w:rPr>
              <w:t>否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sz w:val="20"/>
              </w:rPr>
            </w:pPr>
            <w:r w:rsidRPr="004417A5">
              <w:rPr>
                <w:rFonts w:asciiTheme="minorEastAsia" w:eastAsiaTheme="minorEastAsia" w:hAnsiTheme="minorEastAsia" w:cs="黑体" w:hint="eastAsia"/>
                <w:kern w:val="0"/>
                <w:sz w:val="20"/>
                <w:lang/>
              </w:rPr>
              <w:t>企业承诺</w:t>
            </w:r>
          </w:p>
        </w:tc>
      </w:tr>
      <w:tr w:rsidR="009147BC" w:rsidRPr="004417A5" w:rsidTr="004417A5">
        <w:trPr>
          <w:trHeight w:val="20"/>
          <w:jc w:val="center"/>
        </w:trPr>
        <w:tc>
          <w:tcPr>
            <w:tcW w:w="100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FF0000"/>
                <w:sz w:val="20"/>
              </w:rPr>
            </w:pPr>
            <w:r w:rsidRPr="004417A5">
              <w:rPr>
                <w:rFonts w:ascii="黑体" w:eastAsia="黑体" w:hAnsiTheme="minorEastAsia" w:cs="黑体" w:hint="eastAsia"/>
                <w:b/>
                <w:kern w:val="0"/>
                <w:sz w:val="20"/>
                <w:lang/>
              </w:rPr>
              <w:t>采购实施建议</w:t>
            </w:r>
          </w:p>
        </w:tc>
      </w:tr>
      <w:tr w:rsidR="009147BC" w:rsidRPr="004417A5" w:rsidTr="004417A5">
        <w:trPr>
          <w:trHeight w:val="20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FF0000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lang/>
              </w:rPr>
              <w:t>3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eastAsiaTheme="minorEastAsia" w:hAnsiTheme="minorEastAsia" w:cs="黑体"/>
                <w:color w:val="FF0000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lang/>
              </w:rPr>
              <w:t>技术偏离要求</w:t>
            </w:r>
          </w:p>
        </w:tc>
        <w:tc>
          <w:tcPr>
            <w:tcW w:w="8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textAlignment w:val="center"/>
              <w:rPr>
                <w:rFonts w:asciiTheme="minorEastAsia" w:eastAsiaTheme="minorEastAsia" w:hAnsiTheme="minorEastAsia" w:cs="黑体"/>
                <w:color w:val="FF0000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lang/>
              </w:rPr>
              <w:t>▲标识的指标负偏离≥3项，投标企业技术分值为0分</w:t>
            </w:r>
          </w:p>
          <w:p w:rsidR="009147BC" w:rsidRPr="004417A5" w:rsidRDefault="001A4585" w:rsidP="004417A5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eastAsiaTheme="minorEastAsia" w:hAnsiTheme="minorEastAsia" w:cs="黑体"/>
                <w:color w:val="FF0000"/>
                <w:kern w:val="0"/>
                <w:sz w:val="20"/>
                <w:lang/>
              </w:rPr>
            </w:pPr>
            <w:r w:rsidRPr="004417A5">
              <w:rPr>
                <w:rFonts w:asciiTheme="minorEastAsia" w:eastAsiaTheme="minorEastAsia" w:hAnsiTheme="minorEastAsia" w:cs="黑体" w:hint="eastAsia"/>
                <w:color w:val="FF0000"/>
                <w:kern w:val="0"/>
                <w:sz w:val="20"/>
                <w:lang/>
              </w:rPr>
              <w:t>▲标识的指标和“无标识”指标负偏离≥5项，投标企业技术分值为0分</w:t>
            </w:r>
          </w:p>
        </w:tc>
      </w:tr>
      <w:tr w:rsidR="004417A5" w:rsidRPr="004417A5" w:rsidTr="004417A5">
        <w:trPr>
          <w:trHeight w:val="20"/>
          <w:jc w:val="center"/>
        </w:trPr>
        <w:tc>
          <w:tcPr>
            <w:tcW w:w="100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17A5" w:rsidRPr="00904887" w:rsidRDefault="004417A5" w:rsidP="00264BCC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 w:rsidRPr="00904887">
              <w:rPr>
                <w:rFonts w:ascii="Calibri" w:hAnsi="Calibri" w:hint="eastAsia"/>
                <w:sz w:val="20"/>
              </w:rPr>
              <w:t>注：</w:t>
            </w:r>
            <w:r w:rsidRPr="00904887">
              <w:rPr>
                <w:rFonts w:ascii="宋体" w:hAnsi="宋体" w:cs="宋体" w:hint="eastAsia"/>
                <w:kern w:val="0"/>
                <w:sz w:val="20"/>
              </w:rPr>
              <w:t>1.★指标为必须响应指标，任意一项不满足要求即做废标处理；</w:t>
            </w:r>
          </w:p>
          <w:p w:rsidR="004417A5" w:rsidRPr="00582E95" w:rsidRDefault="004417A5" w:rsidP="00264BCC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</w:rPr>
            </w:pPr>
            <w:r w:rsidRPr="00904887">
              <w:rPr>
                <w:rFonts w:ascii="宋体" w:hAnsi="宋体" w:cs="宋体" w:hint="eastAsia"/>
                <w:kern w:val="0"/>
                <w:sz w:val="20"/>
              </w:rPr>
              <w:t>2.★及▲标识的指标，需逐条按备注要求提供证明材料，未明确的可由企业提供承诺；</w:t>
            </w:r>
          </w:p>
        </w:tc>
      </w:tr>
    </w:tbl>
    <w:p w:rsidR="009147BC" w:rsidRDefault="009147BC"/>
    <w:sectPr w:rsidR="009147BC" w:rsidSect="00596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AF1" w:rsidRDefault="00B55AF1" w:rsidP="00093220">
      <w:r>
        <w:separator/>
      </w:r>
    </w:p>
  </w:endnote>
  <w:endnote w:type="continuationSeparator" w:id="1">
    <w:p w:rsidR="00B55AF1" w:rsidRDefault="00B55AF1" w:rsidP="00093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AF1" w:rsidRDefault="00B55AF1" w:rsidP="00093220">
      <w:r>
        <w:separator/>
      </w:r>
    </w:p>
  </w:footnote>
  <w:footnote w:type="continuationSeparator" w:id="1">
    <w:p w:rsidR="00B55AF1" w:rsidRDefault="00B55AF1" w:rsidP="000932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c1MTA2MjU3ODgzMDhkMzE0ZTU0MjU4NGU4NDljNDMifQ=="/>
    <w:docVar w:name="KY_MEDREF_DOCUID" w:val="{8992334F-CCB5-40AE-8B77-D62B0CE2972E}"/>
    <w:docVar w:name="KY_MEDREF_VERSION" w:val="3"/>
  </w:docVars>
  <w:rsids>
    <w:rsidRoot w:val="210C787C"/>
    <w:rsid w:val="00055601"/>
    <w:rsid w:val="00093220"/>
    <w:rsid w:val="000A43D5"/>
    <w:rsid w:val="000D3724"/>
    <w:rsid w:val="00127333"/>
    <w:rsid w:val="0013427A"/>
    <w:rsid w:val="00171B5C"/>
    <w:rsid w:val="00186240"/>
    <w:rsid w:val="001A4585"/>
    <w:rsid w:val="001B2D0F"/>
    <w:rsid w:val="001B2F68"/>
    <w:rsid w:val="00225BB0"/>
    <w:rsid w:val="002405E4"/>
    <w:rsid w:val="00254F91"/>
    <w:rsid w:val="00270039"/>
    <w:rsid w:val="0027538E"/>
    <w:rsid w:val="002B6CE1"/>
    <w:rsid w:val="002B7250"/>
    <w:rsid w:val="0036315C"/>
    <w:rsid w:val="0037211C"/>
    <w:rsid w:val="003F48E5"/>
    <w:rsid w:val="00404BD3"/>
    <w:rsid w:val="004417A5"/>
    <w:rsid w:val="00465C64"/>
    <w:rsid w:val="00484B61"/>
    <w:rsid w:val="004A5CE1"/>
    <w:rsid w:val="004C00E1"/>
    <w:rsid w:val="004F4C3C"/>
    <w:rsid w:val="0054584D"/>
    <w:rsid w:val="00596B98"/>
    <w:rsid w:val="005D6A8B"/>
    <w:rsid w:val="005F4A7C"/>
    <w:rsid w:val="00603C0E"/>
    <w:rsid w:val="00605FBB"/>
    <w:rsid w:val="00631523"/>
    <w:rsid w:val="006B496A"/>
    <w:rsid w:val="006B5031"/>
    <w:rsid w:val="006D30B1"/>
    <w:rsid w:val="006D7BC7"/>
    <w:rsid w:val="006E365D"/>
    <w:rsid w:val="006F630B"/>
    <w:rsid w:val="007126AC"/>
    <w:rsid w:val="0072238B"/>
    <w:rsid w:val="0078064D"/>
    <w:rsid w:val="007970FA"/>
    <w:rsid w:val="007C40B8"/>
    <w:rsid w:val="00830E3F"/>
    <w:rsid w:val="009147BC"/>
    <w:rsid w:val="00931E78"/>
    <w:rsid w:val="00A51B46"/>
    <w:rsid w:val="00A619D6"/>
    <w:rsid w:val="00AB4DB5"/>
    <w:rsid w:val="00AC5B40"/>
    <w:rsid w:val="00B05807"/>
    <w:rsid w:val="00B254D1"/>
    <w:rsid w:val="00B25FEB"/>
    <w:rsid w:val="00B27823"/>
    <w:rsid w:val="00B32C6E"/>
    <w:rsid w:val="00B45FF5"/>
    <w:rsid w:val="00B55AF1"/>
    <w:rsid w:val="00B81255"/>
    <w:rsid w:val="00BC01B2"/>
    <w:rsid w:val="00BD65B7"/>
    <w:rsid w:val="00CB0331"/>
    <w:rsid w:val="00CD4316"/>
    <w:rsid w:val="00D16965"/>
    <w:rsid w:val="00D32F6E"/>
    <w:rsid w:val="00D33C3E"/>
    <w:rsid w:val="00D35174"/>
    <w:rsid w:val="00E1109C"/>
    <w:rsid w:val="00E2634F"/>
    <w:rsid w:val="00E61443"/>
    <w:rsid w:val="00E85AE2"/>
    <w:rsid w:val="00F01469"/>
    <w:rsid w:val="00F10335"/>
    <w:rsid w:val="00F959D1"/>
    <w:rsid w:val="00FE5EFE"/>
    <w:rsid w:val="02816B15"/>
    <w:rsid w:val="06734B80"/>
    <w:rsid w:val="069A035E"/>
    <w:rsid w:val="07CC6F21"/>
    <w:rsid w:val="0A137D28"/>
    <w:rsid w:val="0F77164A"/>
    <w:rsid w:val="167C549A"/>
    <w:rsid w:val="18C11E3A"/>
    <w:rsid w:val="1C82295D"/>
    <w:rsid w:val="210C787C"/>
    <w:rsid w:val="211C358D"/>
    <w:rsid w:val="23CE4161"/>
    <w:rsid w:val="24B558FC"/>
    <w:rsid w:val="259E3CB0"/>
    <w:rsid w:val="2685028B"/>
    <w:rsid w:val="2BC64A81"/>
    <w:rsid w:val="2C1D3328"/>
    <w:rsid w:val="31D27287"/>
    <w:rsid w:val="32756244"/>
    <w:rsid w:val="353658E0"/>
    <w:rsid w:val="35E35EA3"/>
    <w:rsid w:val="37AF0F8D"/>
    <w:rsid w:val="3960789C"/>
    <w:rsid w:val="398E557D"/>
    <w:rsid w:val="3D06481B"/>
    <w:rsid w:val="3D736C69"/>
    <w:rsid w:val="3DAA7C8A"/>
    <w:rsid w:val="3E3F40E1"/>
    <w:rsid w:val="41B11ADD"/>
    <w:rsid w:val="45FB4091"/>
    <w:rsid w:val="4C917FC8"/>
    <w:rsid w:val="4D2D730E"/>
    <w:rsid w:val="51F034F9"/>
    <w:rsid w:val="546557AD"/>
    <w:rsid w:val="552E0528"/>
    <w:rsid w:val="57B16709"/>
    <w:rsid w:val="59CF6D09"/>
    <w:rsid w:val="5CA0001B"/>
    <w:rsid w:val="5D26561D"/>
    <w:rsid w:val="5FCF5AB7"/>
    <w:rsid w:val="60032F94"/>
    <w:rsid w:val="63A12749"/>
    <w:rsid w:val="6D212F3F"/>
    <w:rsid w:val="6D4A7DE1"/>
    <w:rsid w:val="6E0C49EF"/>
    <w:rsid w:val="6F064D0A"/>
    <w:rsid w:val="767504CD"/>
    <w:rsid w:val="7CB05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596B9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nhideWhenUsed/>
    <w:qFormat/>
    <w:rsid w:val="00596B98"/>
    <w:pPr>
      <w:widowControl w:val="0"/>
      <w:autoSpaceDE w:val="0"/>
      <w:autoSpaceDN w:val="0"/>
    </w:pPr>
    <w:rPr>
      <w:rFonts w:ascii="黑体" w:eastAsia="黑体" w:hAnsi="黑体" w:hint="eastAsia"/>
      <w:color w:val="000000"/>
      <w:sz w:val="24"/>
      <w:szCs w:val="22"/>
    </w:rPr>
  </w:style>
  <w:style w:type="paragraph" w:styleId="a3">
    <w:name w:val="annotation text"/>
    <w:basedOn w:val="a"/>
    <w:qFormat/>
    <w:rsid w:val="00596B98"/>
    <w:pPr>
      <w:jc w:val="left"/>
    </w:pPr>
  </w:style>
  <w:style w:type="paragraph" w:styleId="a4">
    <w:name w:val="Balloon Text"/>
    <w:basedOn w:val="a"/>
    <w:link w:val="Char"/>
    <w:qFormat/>
    <w:rsid w:val="00596B98"/>
    <w:rPr>
      <w:sz w:val="18"/>
      <w:szCs w:val="18"/>
    </w:rPr>
  </w:style>
  <w:style w:type="paragraph" w:styleId="a5">
    <w:name w:val="footer"/>
    <w:basedOn w:val="a"/>
    <w:link w:val="Char0"/>
    <w:qFormat/>
    <w:rsid w:val="00596B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596B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qFormat/>
    <w:rsid w:val="00596B98"/>
    <w:rPr>
      <w:sz w:val="21"/>
      <w:szCs w:val="21"/>
    </w:rPr>
  </w:style>
  <w:style w:type="character" w:customStyle="1" w:styleId="font111">
    <w:name w:val="font111"/>
    <w:basedOn w:val="a0"/>
    <w:qFormat/>
    <w:rsid w:val="00596B98"/>
    <w:rPr>
      <w:rFonts w:ascii="黑体" w:eastAsia="黑体" w:hAnsi="宋体" w:cs="黑体" w:hint="eastAsia"/>
      <w:i/>
      <w:iCs/>
      <w:color w:val="000000"/>
      <w:sz w:val="20"/>
      <w:szCs w:val="20"/>
      <w:u w:val="none"/>
    </w:rPr>
  </w:style>
  <w:style w:type="character" w:customStyle="1" w:styleId="Char1">
    <w:name w:val="页眉 Char"/>
    <w:basedOn w:val="a0"/>
    <w:link w:val="a6"/>
    <w:qFormat/>
    <w:rsid w:val="00596B9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596B98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596B98"/>
    <w:pPr>
      <w:spacing w:after="160" w:line="259" w:lineRule="auto"/>
      <w:ind w:firstLineChars="200" w:firstLine="420"/>
    </w:pPr>
    <w:rPr>
      <w:szCs w:val="21"/>
    </w:rPr>
  </w:style>
  <w:style w:type="character" w:customStyle="1" w:styleId="Char">
    <w:name w:val="批注框文本 Char"/>
    <w:basedOn w:val="a0"/>
    <w:link w:val="a4"/>
    <w:qFormat/>
    <w:rsid w:val="00596B98"/>
    <w:rPr>
      <w:kern w:val="2"/>
      <w:sz w:val="18"/>
      <w:szCs w:val="18"/>
    </w:rPr>
  </w:style>
  <w:style w:type="paragraph" w:customStyle="1" w:styleId="10">
    <w:name w:val="修订1"/>
    <w:hidden/>
    <w:uiPriority w:val="99"/>
    <w:unhideWhenUsed/>
    <w:qFormat/>
    <w:rsid w:val="00596B98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nhideWhenUsed/>
    <w:qFormat/>
    <w:pPr>
      <w:widowControl w:val="0"/>
      <w:autoSpaceDE w:val="0"/>
      <w:autoSpaceDN w:val="0"/>
    </w:pPr>
    <w:rPr>
      <w:rFonts w:ascii="黑体" w:eastAsia="黑体" w:hAnsi="黑体" w:hint="eastAsia"/>
      <w:color w:val="000000"/>
      <w:sz w:val="24"/>
      <w:szCs w:val="22"/>
    </w:rPr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qFormat/>
    <w:rPr>
      <w:sz w:val="21"/>
      <w:szCs w:val="21"/>
    </w:rPr>
  </w:style>
  <w:style w:type="character" w:customStyle="1" w:styleId="font111">
    <w:name w:val="font111"/>
    <w:basedOn w:val="a0"/>
    <w:qFormat/>
    <w:rPr>
      <w:rFonts w:ascii="黑体" w:eastAsia="黑体" w:hAnsi="宋体" w:cs="黑体" w:hint="eastAsia"/>
      <w:i/>
      <w:iCs/>
      <w:color w:val="000000"/>
      <w:sz w:val="20"/>
      <w:szCs w:val="20"/>
      <w:u w:val="none"/>
    </w:rPr>
  </w:style>
  <w:style w:type="character" w:customStyle="1" w:styleId="Char1">
    <w:name w:val="页眉 Char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spacing w:after="160" w:line="259" w:lineRule="auto"/>
      <w:ind w:firstLineChars="200" w:firstLine="420"/>
    </w:pPr>
    <w:rPr>
      <w:szCs w:val="21"/>
    </w:r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paragraph" w:customStyle="1" w:styleId="10">
    <w:name w:val="修订1"/>
    <w:hidden/>
    <w:uiPriority w:val="99"/>
    <w:unhideWhenUsed/>
    <w:qFormat/>
    <w:rPr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18600317891</dc:creator>
  <cp:lastModifiedBy>doctor</cp:lastModifiedBy>
  <cp:revision>3</cp:revision>
  <cp:lastPrinted>2024-10-22T06:08:00Z</cp:lastPrinted>
  <dcterms:created xsi:type="dcterms:W3CDTF">2024-11-02T03:45:00Z</dcterms:created>
  <dcterms:modified xsi:type="dcterms:W3CDTF">2024-11-02T03:55:00Z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56FE8140DEB749EF98DE10C6F80566CB_13</vt:lpwstr>
  </property>
</Properties>
</file>