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560" w:lineRule="exact"/>
        <w:rPr>
          <w:rFonts w:hint="eastAsia" w:hAnsi="宋体"/>
          <w:bCs/>
          <w:sz w:val="28"/>
          <w:szCs w:val="28"/>
          <w:highlight w:val="none"/>
          <w:lang w:val="en-US" w:eastAsia="zh-CN"/>
        </w:rPr>
      </w:pPr>
      <w:bookmarkStart w:id="0" w:name="_Toc189"/>
      <w:bookmarkStart w:id="1" w:name="_Toc22387"/>
      <w:bookmarkStart w:id="2" w:name="_Toc127820563"/>
      <w:bookmarkStart w:id="3" w:name="_Toc128397969"/>
      <w:bookmarkStart w:id="4" w:name="_Toc128151026"/>
      <w:bookmarkStart w:id="5" w:name="_Toc25703"/>
      <w:bookmarkStart w:id="6" w:name="_Toc130887499"/>
      <w:bookmarkStart w:id="7" w:name="_Toc132190633"/>
      <w:bookmarkStart w:id="8" w:name="_Toc128150133"/>
      <w:bookmarkStart w:id="9" w:name="_Toc30945"/>
      <w:bookmarkStart w:id="10" w:name="_Toc128150777"/>
      <w:bookmarkStart w:id="11" w:name="_Toc3233"/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一、商务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均为实质性响应条款，不接受负偏离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)</w:t>
      </w:r>
      <w:bookmarkEnd w:id="11"/>
    </w:p>
    <w:p>
      <w:pPr>
        <w:rPr>
          <w:rFonts w:hint="eastAsia" w:hAnsi="宋体"/>
          <w:bCs/>
          <w:sz w:val="28"/>
          <w:szCs w:val="28"/>
          <w:highlight w:val="none"/>
          <w:lang w:val="en-US" w:eastAsia="zh-CN"/>
        </w:rPr>
      </w:pPr>
    </w:p>
    <w:p>
      <w:pPr>
        <w:rPr>
          <w:rFonts w:hint="default"/>
          <w:b/>
          <w:bCs w:val="0"/>
          <w:lang w:val="en-US"/>
        </w:rPr>
      </w:pPr>
      <w:r>
        <w:rPr>
          <w:rFonts w:hint="eastAsia" w:ascii="Times New Roman" w:hAnsi="宋体" w:cs="Times New Roman"/>
          <w:b/>
          <w:bCs w:val="0"/>
          <w:sz w:val="28"/>
          <w:szCs w:val="28"/>
          <w:highlight w:val="none"/>
          <w:lang w:val="en-US" w:eastAsia="zh-CN"/>
        </w:rPr>
        <w:t>1</w:t>
      </w:r>
      <w:r>
        <w:rPr>
          <w:rFonts w:hint="eastAsia" w:hAnsi="宋体" w:cs="Times New Roman"/>
          <w:b/>
          <w:bCs w:val="0"/>
          <w:sz w:val="28"/>
          <w:szCs w:val="28"/>
          <w:highlight w:val="none"/>
          <w:lang w:val="en-US" w:eastAsia="zh-CN"/>
        </w:rPr>
        <w:t>、</w:t>
      </w:r>
      <w:r>
        <w:rPr>
          <w:rFonts w:hint="eastAsia" w:ascii="Times New Roman" w:hAnsi="宋体" w:cs="Times New Roman"/>
          <w:b/>
          <w:bCs w:val="0"/>
          <w:sz w:val="28"/>
          <w:szCs w:val="28"/>
          <w:highlight w:val="none"/>
          <w:lang w:val="en-US" w:eastAsia="zh-CN"/>
        </w:rPr>
        <w:t>项目</w:t>
      </w:r>
      <w:r>
        <w:rPr>
          <w:rFonts w:hint="eastAsia" w:hAnsi="宋体"/>
          <w:b/>
          <w:bCs w:val="0"/>
          <w:sz w:val="28"/>
          <w:szCs w:val="28"/>
          <w:highlight w:val="none"/>
          <w:lang w:val="en-US" w:eastAsia="zh-CN"/>
        </w:rPr>
        <w:t>名称：快速清洗消毒器</w:t>
      </w:r>
    </w:p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969"/>
        <w:gridCol w:w="5480"/>
        <w:gridCol w:w="122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4售后条款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6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原厂保修年限</w:t>
            </w:r>
          </w:p>
        </w:tc>
        <w:tc>
          <w:tcPr>
            <w:tcW w:w="62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零配件支持</w:t>
            </w:r>
          </w:p>
        </w:tc>
        <w:tc>
          <w:tcPr>
            <w:tcW w:w="6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零配件保证供应时长</w:t>
            </w:r>
          </w:p>
        </w:tc>
        <w:tc>
          <w:tcPr>
            <w:tcW w:w="6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到位维修响应</w:t>
            </w:r>
          </w:p>
        </w:tc>
        <w:tc>
          <w:tcPr>
            <w:tcW w:w="6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保修期外维修费用</w:t>
            </w:r>
          </w:p>
        </w:tc>
        <w:tc>
          <w:tcPr>
            <w:tcW w:w="6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技术支持和服务网点</w:t>
            </w:r>
          </w:p>
        </w:tc>
        <w:tc>
          <w:tcPr>
            <w:tcW w:w="6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6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专用工具、资料及其它</w:t>
            </w:r>
          </w:p>
        </w:tc>
        <w:tc>
          <w:tcPr>
            <w:tcW w:w="6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培训</w:t>
            </w:r>
          </w:p>
        </w:tc>
        <w:tc>
          <w:tcPr>
            <w:tcW w:w="6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提供使用培训和工程师原厂培训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4.10 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合同签订后3个月内交货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</w:tbl>
    <w:p>
      <w:pPr>
        <w:rPr>
          <w:rFonts w:hint="eastAsia" w:ascii="宋体" w:hAnsi="宋体"/>
          <w:bCs/>
          <w:sz w:val="28"/>
          <w:szCs w:val="28"/>
          <w:highlight w:val="none"/>
          <w:lang w:val="zh-CN"/>
        </w:rPr>
      </w:pPr>
    </w:p>
    <w:p>
      <w:pPr>
        <w:rPr>
          <w:rFonts w:hint="default"/>
          <w:b/>
          <w:bCs w:val="0"/>
          <w:lang w:val="en-US"/>
        </w:rPr>
      </w:pPr>
      <w:r>
        <w:rPr>
          <w:rFonts w:hint="eastAsia" w:hAnsi="宋体" w:cs="Times New Roman"/>
          <w:b/>
          <w:bCs w:val="0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Times New Roman" w:hAnsi="宋体" w:cs="Times New Roman"/>
          <w:b/>
          <w:bCs w:val="0"/>
          <w:sz w:val="28"/>
          <w:szCs w:val="28"/>
          <w:highlight w:val="none"/>
          <w:lang w:val="en-US" w:eastAsia="zh-CN"/>
        </w:rPr>
        <w:t>项目</w:t>
      </w:r>
      <w:r>
        <w:rPr>
          <w:rFonts w:hint="eastAsia" w:hAnsi="宋体"/>
          <w:b/>
          <w:bCs w:val="0"/>
          <w:sz w:val="28"/>
          <w:szCs w:val="28"/>
          <w:highlight w:val="none"/>
          <w:lang w:val="en-US" w:eastAsia="zh-CN"/>
        </w:rPr>
        <w:t>名称：三层清洗消毒架</w:t>
      </w:r>
    </w:p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982"/>
        <w:gridCol w:w="5465"/>
        <w:gridCol w:w="123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7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售后条款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原厂保修年限</w:t>
            </w:r>
          </w:p>
        </w:tc>
        <w:tc>
          <w:tcPr>
            <w:tcW w:w="6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零配件支持</w:t>
            </w:r>
          </w:p>
        </w:tc>
        <w:tc>
          <w:tcPr>
            <w:tcW w:w="6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零配件保证供应时长</w:t>
            </w:r>
          </w:p>
        </w:tc>
        <w:tc>
          <w:tcPr>
            <w:tcW w:w="6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到位维修响应</w:t>
            </w:r>
          </w:p>
        </w:tc>
        <w:tc>
          <w:tcPr>
            <w:tcW w:w="6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保修期外维修费用</w:t>
            </w:r>
          </w:p>
        </w:tc>
        <w:tc>
          <w:tcPr>
            <w:tcW w:w="6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技术支持和服务网点</w:t>
            </w:r>
          </w:p>
        </w:tc>
        <w:tc>
          <w:tcPr>
            <w:tcW w:w="6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6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专用工具、资料及其它</w:t>
            </w:r>
          </w:p>
        </w:tc>
        <w:tc>
          <w:tcPr>
            <w:tcW w:w="6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培训</w:t>
            </w:r>
          </w:p>
        </w:tc>
        <w:tc>
          <w:tcPr>
            <w:tcW w:w="6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提供使用培训和工程师原厂培训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4.10 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合同签订后3个月内交货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</w:tbl>
    <w:p>
      <w:pPr>
        <w:rPr>
          <w:rFonts w:hint="eastAsia" w:ascii="宋体" w:hAnsi="宋体"/>
          <w:bCs/>
          <w:sz w:val="28"/>
          <w:szCs w:val="28"/>
          <w:highlight w:val="none"/>
          <w:lang w:val="zh-CN"/>
        </w:rPr>
      </w:pPr>
    </w:p>
    <w:p>
      <w:pPr>
        <w:rPr>
          <w:rFonts w:hint="default"/>
          <w:b/>
          <w:bCs w:val="0"/>
          <w:lang w:val="en-US"/>
        </w:rPr>
      </w:pPr>
      <w:bookmarkStart w:id="12" w:name="_Toc128150134"/>
      <w:bookmarkStart w:id="13" w:name="_Toc128151027"/>
      <w:bookmarkStart w:id="14" w:name="_Toc8435"/>
      <w:bookmarkStart w:id="15" w:name="_Toc128397970"/>
      <w:bookmarkStart w:id="16" w:name="_Toc130887500"/>
      <w:bookmarkStart w:id="17" w:name="_Toc128150778"/>
      <w:bookmarkStart w:id="18" w:name="_Toc127820564"/>
      <w:bookmarkStart w:id="19" w:name="_Toc132190634"/>
      <w:r>
        <w:rPr>
          <w:rFonts w:hint="eastAsia" w:hAnsi="宋体" w:cs="Times New Roman"/>
          <w:b/>
          <w:bCs w:val="0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Times New Roman" w:hAnsi="宋体" w:cs="Times New Roman"/>
          <w:b/>
          <w:bCs w:val="0"/>
          <w:sz w:val="28"/>
          <w:szCs w:val="28"/>
          <w:highlight w:val="none"/>
          <w:lang w:val="en-US" w:eastAsia="zh-CN"/>
        </w:rPr>
        <w:t>项目</w:t>
      </w:r>
      <w:r>
        <w:rPr>
          <w:rFonts w:hint="eastAsia" w:hAnsi="宋体"/>
          <w:b/>
          <w:bCs w:val="0"/>
          <w:sz w:val="28"/>
          <w:szCs w:val="28"/>
          <w:highlight w:val="none"/>
          <w:lang w:val="en-US" w:eastAsia="zh-CN"/>
        </w:rPr>
        <w:t>名称：腔镜清洗消毒架</w:t>
      </w:r>
    </w:p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969"/>
        <w:gridCol w:w="5480"/>
        <w:gridCol w:w="122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4售后条款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6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原厂保修年限</w:t>
            </w:r>
          </w:p>
        </w:tc>
        <w:tc>
          <w:tcPr>
            <w:tcW w:w="62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零配件支持</w:t>
            </w:r>
          </w:p>
        </w:tc>
        <w:tc>
          <w:tcPr>
            <w:tcW w:w="6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零配件保证供应时长</w:t>
            </w:r>
          </w:p>
        </w:tc>
        <w:tc>
          <w:tcPr>
            <w:tcW w:w="6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到位维修响应</w:t>
            </w:r>
          </w:p>
        </w:tc>
        <w:tc>
          <w:tcPr>
            <w:tcW w:w="6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保修期外维修费用</w:t>
            </w:r>
          </w:p>
        </w:tc>
        <w:tc>
          <w:tcPr>
            <w:tcW w:w="6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技术支持和服务网点</w:t>
            </w:r>
          </w:p>
        </w:tc>
        <w:tc>
          <w:tcPr>
            <w:tcW w:w="6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6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专用工具、资料及其它</w:t>
            </w:r>
          </w:p>
        </w:tc>
        <w:tc>
          <w:tcPr>
            <w:tcW w:w="6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培训</w:t>
            </w:r>
          </w:p>
        </w:tc>
        <w:tc>
          <w:tcPr>
            <w:tcW w:w="6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提供使用培训和工程师原厂培训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4.10 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合同签订后3个月内交货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</w:tbl>
    <w:p>
      <w:pPr>
        <w:pStyle w:val="5"/>
        <w:spacing w:line="560" w:lineRule="exact"/>
        <w:ind w:left="0" w:leftChars="0" w:firstLine="0" w:firstLineChars="0"/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</w:pPr>
    </w:p>
    <w:p>
      <w:pPr>
        <w:pStyle w:val="5"/>
        <w:spacing w:line="560" w:lineRule="exact"/>
        <w:ind w:left="0" w:leftChars="0" w:firstLine="0" w:firstLineChars="0"/>
        <w:rPr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4.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</w:rPr>
        <w:t>和保密要求</w:t>
      </w:r>
    </w:p>
    <w:p>
      <w:pPr>
        <w:pStyle w:val="5"/>
        <w:spacing w:line="360" w:lineRule="auto"/>
        <w:ind w:firstLine="560"/>
        <w:rPr>
          <w:bCs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u w:val="singl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  <w:u w:val="singl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u w:val="single"/>
          <w:lang w:val="zh-CN"/>
        </w:rPr>
        <w:t>。</w:t>
      </w:r>
    </w:p>
    <w:p>
      <w:pPr>
        <w:pStyle w:val="5"/>
        <w:spacing w:line="360" w:lineRule="auto"/>
        <w:ind w:firstLine="560"/>
        <w:rPr>
          <w:rFonts w:hint="eastAsia"/>
          <w:bCs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u w:val="single"/>
          <w:lang w:val="zh-CN"/>
        </w:rPr>
        <w:t>基于项目合同履行形成的知识产权和其他权益，其权属归采购单位所有，法律另有规定的除外。</w:t>
      </w:r>
    </w:p>
    <w:p>
      <w:pPr>
        <w:pStyle w:val="5"/>
        <w:spacing w:line="360" w:lineRule="auto"/>
        <w:ind w:firstLine="560"/>
        <w:rPr>
          <w:rFonts w:hint="eastAsia"/>
          <w:bCs/>
          <w:color w:val="auto"/>
          <w:sz w:val="28"/>
          <w:szCs w:val="28"/>
          <w:highlight w:val="none"/>
          <w:lang w:val="zh-CN"/>
        </w:rPr>
      </w:pPr>
    </w:p>
    <w:p>
      <w:pPr>
        <w:pStyle w:val="5"/>
        <w:spacing w:line="560" w:lineRule="exact"/>
        <w:ind w:left="0" w:leftChars="0" w:firstLine="0" w:firstLineChars="0"/>
        <w:rPr>
          <w:rFonts w:hint="eastAsia" w:ascii="黑体" w:hAnsi="黑体" w:cs="黑体"/>
          <w:b/>
          <w:bCs/>
          <w:sz w:val="28"/>
          <w:szCs w:val="28"/>
          <w:highlight w:val="none"/>
          <w:lang w:val="zh-CN" w:eastAsia="zh-CN"/>
        </w:rPr>
      </w:pPr>
      <w:r>
        <w:rPr>
          <w:rFonts w:hint="eastAsia" w:ascii="黑体" w:hAnsi="黑体" w:cs="黑体"/>
          <w:b/>
          <w:bCs/>
          <w:sz w:val="28"/>
          <w:szCs w:val="28"/>
          <w:highlight w:val="none"/>
          <w:lang w:val="en-US" w:eastAsia="zh-CN"/>
        </w:rPr>
        <w:t>5.</w:t>
      </w:r>
      <w:r>
        <w:rPr>
          <w:rFonts w:hint="eastAsia" w:ascii="黑体" w:hAnsi="黑体" w:cs="黑体"/>
          <w:b/>
          <w:bCs/>
          <w:sz w:val="28"/>
          <w:szCs w:val="28"/>
          <w:highlight w:val="none"/>
          <w:lang w:val="zh-CN" w:eastAsia="zh-CN"/>
        </w:rPr>
        <w:t>物资编目编码、打码贴签要求</w:t>
      </w:r>
    </w:p>
    <w:p>
      <w:pPr>
        <w:pStyle w:val="5"/>
        <w:spacing w:line="360" w:lineRule="auto"/>
        <w:ind w:firstLine="560"/>
        <w:rPr>
          <w:rFonts w:hint="eastAsia"/>
          <w:bCs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u w:val="single"/>
          <w:lang w:val="zh-CN"/>
        </w:rPr>
        <w:t>本项目对物资的编目编码、打码贴签要求，报价供应商应当予以明确响应，相关费用包含在报价中。</w:t>
      </w:r>
    </w:p>
    <w:p>
      <w:pP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br w:type="page"/>
      </w:r>
    </w:p>
    <w:p>
      <w:pPr>
        <w:pStyle w:val="2"/>
        <w:spacing w:before="0" w:after="0" w:line="560" w:lineRule="exact"/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二、技术要求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>
      <w:pPr>
        <w:numPr>
          <w:ilvl w:val="0"/>
          <w:numId w:val="0"/>
        </w:numPr>
        <w:rPr>
          <w:rFonts w:hint="default"/>
          <w:b/>
          <w:bCs w:val="0"/>
          <w:lang w:val="en-US"/>
        </w:rPr>
      </w:pPr>
      <w:r>
        <w:rPr>
          <w:rFonts w:hint="eastAsia" w:ascii="Times New Roman" w:hAnsi="宋体" w:cs="Times New Roman"/>
          <w:b/>
          <w:bCs w:val="0"/>
          <w:sz w:val="28"/>
          <w:szCs w:val="28"/>
          <w:highlight w:val="none"/>
          <w:lang w:val="en-US" w:eastAsia="zh-CN"/>
        </w:rPr>
        <w:t>1</w:t>
      </w:r>
      <w:r>
        <w:rPr>
          <w:rFonts w:hint="eastAsia" w:hAnsi="宋体" w:cs="Times New Roman"/>
          <w:b/>
          <w:bCs w:val="0"/>
          <w:sz w:val="28"/>
          <w:szCs w:val="28"/>
          <w:highlight w:val="none"/>
          <w:lang w:val="en-US" w:eastAsia="zh-CN"/>
        </w:rPr>
        <w:t>、</w:t>
      </w:r>
      <w:r>
        <w:rPr>
          <w:rFonts w:hint="eastAsia" w:ascii="Times New Roman" w:hAnsi="宋体" w:cs="Times New Roman"/>
          <w:b/>
          <w:bCs w:val="0"/>
          <w:sz w:val="28"/>
          <w:szCs w:val="28"/>
          <w:highlight w:val="none"/>
          <w:lang w:val="en-US" w:eastAsia="zh-CN"/>
        </w:rPr>
        <w:t>项目</w:t>
      </w:r>
      <w:r>
        <w:rPr>
          <w:rFonts w:hint="eastAsia" w:hAnsi="宋体"/>
          <w:b/>
          <w:bCs w:val="0"/>
          <w:sz w:val="28"/>
          <w:szCs w:val="28"/>
          <w:highlight w:val="none"/>
          <w:lang w:val="en-US" w:eastAsia="zh-CN"/>
        </w:rPr>
        <w:t>名称：快速清洗消毒器</w:t>
      </w:r>
    </w:p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1951"/>
        <w:gridCol w:w="1145"/>
        <w:gridCol w:w="150"/>
        <w:gridCol w:w="3018"/>
        <w:gridCol w:w="129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医疗设备技术需求确认表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快速清洗消毒器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总数量（台/套）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预算总金额（万元）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技术和性能参数名称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招标参数和性能要求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对手术器械、呼吸麻醉管道、换药碗、玻璃器皿、硬性内窥镜、达芬奇手术器械等进行清洗和消毒,配套同品牌多层清洗架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加热方式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可选电加热、蒸汽加热或电和蒸汽两用加热型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主要功能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根据不同的物品种类选择清洗消毒程序，清洗过程包括：预清洗、清洗、漂洗、消毒、上润滑油和干燥功能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腔体容积及有效容积（清洗架容积）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腔体容积≥480L,有效容积≥350L,清洗架层间距≥15cm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一次可清洗的器械量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每批次处理标准器械托盘数≥25个，器械托盘容积≥5.95L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漂洗、热力消毒功能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符合EN ISO15883 标准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腔体及管路材质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SUS 316L耐酸耐腐蚀不锈钢，管路同为高等级AISI316L，连接方式为卫生级卡箍连接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进水方式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腔体侧部进水，腔内侧壁2个快速接口供应层架用水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排水系统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主动式排水，排水泵位于循环系统的最低处,排水泵流量≥50L/min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干燥及排风冷却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双效加热系统，可采用热交换器系统中余量进行利用，排放温度≤35℃，干燥时间自动调整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清洗剂自动加入泵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≥3个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加液桶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机器内部可放置≥4个加液桶（每个5升）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彩页或说明书或白皮书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清洗架及清洗喷臂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清洗架可任意拆卸组合，清洗不同高度物品；清洗喷臂两端可拆卸，易清洗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空气过滤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具有高效过滤器，过滤效率≥99.99%，空气过滤器两端具有实时的压差监控系统，以便实时监控过滤器是否堵塞或破漏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智能水量控制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根据清洗架和负载不同自动调节进水量，有效节水，每阶段的耗水量≤37L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工作程序预设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包含A0=3000的程序，可存储≥99个程序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显示（温度、时间）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两个中文液晶显示屏，双侧显示，尺寸≥7英寸，实时显示工作程序、温度、时间、压力和整个工作过程的各项参数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数据导出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自带打印机打印消毒过程数据、及USB数据导出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设备不良事件情况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厂家自报设备近三年不良事件情况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配置需求（单台套）</w:t>
            </w:r>
          </w:p>
        </w:tc>
        <w:tc>
          <w:tcPr>
            <w:tcW w:w="4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主机一台，装卸载层架1个、装卸载车4个、大号清洗篮15个、中号篮筐25个、达芬奇手术器械清洗架1个、微创器械清洗架1个</w:t>
            </w:r>
          </w:p>
        </w:tc>
        <w:tc>
          <w:tcPr>
            <w:tcW w:w="129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1.加注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标识的指标为必须响应指标，任意一项不满足要求即做废标处理；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2.加注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3.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及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标识的指标需按照采购需求表（物资类）备注中明确的要求提供相关证明材料。</w:t>
            </w:r>
          </w:p>
        </w:tc>
      </w:tr>
    </w:tbl>
    <w:p>
      <w:pPr>
        <w:rPr>
          <w:rFonts w:hint="eastAsia" w:hAnsi="宋体" w:cs="Times New Roman"/>
          <w:b/>
          <w:bCs w:val="0"/>
          <w:sz w:val="28"/>
          <w:szCs w:val="28"/>
          <w:highlight w:val="none"/>
          <w:lang w:val="en-US" w:eastAsia="zh-CN"/>
        </w:rPr>
      </w:pPr>
    </w:p>
    <w:p>
      <w:pPr>
        <w:rPr>
          <w:rFonts w:hint="eastAsia" w:hAnsi="宋体" w:cs="Times New Roman"/>
          <w:b/>
          <w:bCs w:val="0"/>
          <w:sz w:val="28"/>
          <w:szCs w:val="28"/>
          <w:highlight w:val="none"/>
          <w:lang w:val="en-US" w:eastAsia="zh-CN"/>
        </w:rPr>
      </w:pPr>
    </w:p>
    <w:p>
      <w:pPr>
        <w:rPr>
          <w:rFonts w:hint="eastAsia" w:hAnsi="宋体" w:cs="Times New Roman"/>
          <w:b/>
          <w:bCs w:val="0"/>
          <w:sz w:val="28"/>
          <w:szCs w:val="28"/>
          <w:highlight w:val="none"/>
          <w:lang w:val="en-US" w:eastAsia="zh-CN"/>
        </w:rPr>
      </w:pPr>
    </w:p>
    <w:p>
      <w:pPr>
        <w:rPr>
          <w:rFonts w:hint="default"/>
          <w:b/>
          <w:bCs w:val="0"/>
          <w:lang w:val="en-US"/>
        </w:rPr>
      </w:pPr>
      <w:r>
        <w:rPr>
          <w:rFonts w:hint="eastAsia" w:hAnsi="宋体" w:cs="Times New Roman"/>
          <w:b/>
          <w:bCs w:val="0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Times New Roman" w:hAnsi="宋体" w:cs="Times New Roman"/>
          <w:b/>
          <w:bCs w:val="0"/>
          <w:sz w:val="28"/>
          <w:szCs w:val="28"/>
          <w:highlight w:val="none"/>
          <w:lang w:val="en-US" w:eastAsia="zh-CN"/>
        </w:rPr>
        <w:t>项目</w:t>
      </w:r>
      <w:r>
        <w:rPr>
          <w:rFonts w:hint="eastAsia" w:hAnsi="宋体"/>
          <w:b/>
          <w:bCs w:val="0"/>
          <w:sz w:val="28"/>
          <w:szCs w:val="28"/>
          <w:highlight w:val="none"/>
          <w:lang w:val="en-US" w:eastAsia="zh-CN"/>
        </w:rPr>
        <w:t>名称：三层清洗消毒架</w:t>
      </w:r>
    </w:p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2"/>
        <w:gridCol w:w="1400"/>
        <w:gridCol w:w="1547"/>
        <w:gridCol w:w="179"/>
        <w:gridCol w:w="3114"/>
        <w:gridCol w:w="129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医疗设备技术需求确认表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三层清洗消毒架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总数量（台/套）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预算总金额（万元）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技术和性能参数名称</w:t>
            </w:r>
          </w:p>
        </w:tc>
        <w:tc>
          <w:tcPr>
            <w:tcW w:w="55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招标参数和性能要求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5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清洗消毒器配套使用，用于装载清洗篮筐、碗盘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55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可拆卸</w:t>
            </w:r>
          </w:p>
        </w:tc>
        <w:tc>
          <w:tcPr>
            <w:tcW w:w="55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各层层板及喷淋臂可拆卸，3层可增加到4层，且可调整为2层、1层使用，提供图片说明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移动</w:t>
            </w:r>
          </w:p>
        </w:tc>
        <w:tc>
          <w:tcPr>
            <w:tcW w:w="55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清洗架底部自带不锈钢滚轮，提供图片说明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喷淋臂</w:t>
            </w:r>
          </w:p>
        </w:tc>
        <w:tc>
          <w:tcPr>
            <w:tcW w:w="55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喷淋臂截面为椭圆型，喷淋臂两端可拆卸，提供图片说明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材质</w:t>
            </w:r>
          </w:p>
        </w:tc>
        <w:tc>
          <w:tcPr>
            <w:tcW w:w="55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整体为316不锈钢材质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彩页或说明书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设备不良事件情况</w:t>
            </w:r>
          </w:p>
        </w:tc>
        <w:tc>
          <w:tcPr>
            <w:tcW w:w="55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厂家自报设备近三年不良事件情况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55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带有原厂标志，与快速清洗消毒器同一品牌，提供图片说明</w:t>
            </w:r>
          </w:p>
        </w:tc>
        <w:tc>
          <w:tcPr>
            <w:tcW w:w="12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厂家承诺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尺寸</w:t>
            </w:r>
          </w:p>
        </w:tc>
        <w:tc>
          <w:tcPr>
            <w:tcW w:w="55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≥(55×75×65)cm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配置需求（单台套）</w:t>
            </w:r>
          </w:p>
        </w:tc>
        <w:tc>
          <w:tcPr>
            <w:tcW w:w="55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多层清洗架1套</w:t>
            </w:r>
          </w:p>
        </w:tc>
        <w:tc>
          <w:tcPr>
            <w:tcW w:w="129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1.加注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标识的指标为必须响应指标，任意一项不满足要求即做废标处理；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2.加注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标识的指标为重要指标；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3.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及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标识的指标需按照采购需求表（物资类）备注中明确的要求提供相关证明材料。</w:t>
            </w:r>
          </w:p>
        </w:tc>
      </w:tr>
    </w:tbl>
    <w:p>
      <w:pPr>
        <w:rPr>
          <w:rFonts w:hint="eastAsia" w:hAnsi="宋体" w:cs="Times New Roman"/>
          <w:b/>
          <w:bCs w:val="0"/>
          <w:sz w:val="28"/>
          <w:szCs w:val="28"/>
          <w:highlight w:val="none"/>
          <w:lang w:val="en-US" w:eastAsia="zh-CN"/>
        </w:rPr>
      </w:pPr>
    </w:p>
    <w:p>
      <w:pPr>
        <w:rPr>
          <w:rFonts w:hint="eastAsia" w:hAnsi="宋体" w:cs="Times New Roman"/>
          <w:b/>
          <w:bCs w:val="0"/>
          <w:sz w:val="28"/>
          <w:szCs w:val="28"/>
          <w:highlight w:val="none"/>
          <w:lang w:val="en-US" w:eastAsia="zh-CN"/>
        </w:rPr>
      </w:pPr>
    </w:p>
    <w:p>
      <w:pPr>
        <w:rPr>
          <w:rFonts w:hint="eastAsia" w:hAnsi="宋体" w:cs="Times New Roman"/>
          <w:b/>
          <w:bCs w:val="0"/>
          <w:sz w:val="28"/>
          <w:szCs w:val="28"/>
          <w:highlight w:val="none"/>
          <w:lang w:val="en-US" w:eastAsia="zh-CN"/>
        </w:rPr>
      </w:pPr>
    </w:p>
    <w:p>
      <w:pPr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hAnsi="宋体" w:cs="Times New Roman"/>
          <w:b/>
          <w:bCs w:val="0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Times New Roman" w:hAnsi="宋体" w:cs="Times New Roman"/>
          <w:b/>
          <w:bCs w:val="0"/>
          <w:sz w:val="28"/>
          <w:szCs w:val="28"/>
          <w:highlight w:val="none"/>
          <w:lang w:val="en-US" w:eastAsia="zh-CN"/>
        </w:rPr>
        <w:t>项目</w:t>
      </w:r>
      <w:r>
        <w:rPr>
          <w:rFonts w:hint="eastAsia" w:hAnsi="宋体"/>
          <w:b/>
          <w:bCs w:val="0"/>
          <w:sz w:val="28"/>
          <w:szCs w:val="28"/>
          <w:highlight w:val="none"/>
          <w:lang w:val="en-US" w:eastAsia="zh-CN"/>
        </w:rPr>
        <w:t>名称：腔镜清洗消毒架</w:t>
      </w:r>
    </w:p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2"/>
        <w:gridCol w:w="1732"/>
        <w:gridCol w:w="1552"/>
        <w:gridCol w:w="153"/>
        <w:gridCol w:w="2892"/>
        <w:gridCol w:w="111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医疗设备技术需求确认表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腔镜清洗消毒架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总数量（台/套）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预算总金额（万元）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技术和性能参数名称</w:t>
            </w:r>
          </w:p>
        </w:tc>
        <w:tc>
          <w:tcPr>
            <w:tcW w:w="49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招标参数和性能要求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9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清洗消毒器配套使用，用于装载腔镜、微创器械等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49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卡口数</w:t>
            </w:r>
          </w:p>
        </w:tc>
        <w:tc>
          <w:tcPr>
            <w:tcW w:w="49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≥4组独立卡槽及喷水口，提供图片说明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彩页或说明书或白皮书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移动</w:t>
            </w:r>
          </w:p>
        </w:tc>
        <w:tc>
          <w:tcPr>
            <w:tcW w:w="49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清洗架底部自带不锈钢滚轮，提供图片说明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喷淋臂</w:t>
            </w:r>
          </w:p>
        </w:tc>
        <w:tc>
          <w:tcPr>
            <w:tcW w:w="49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喷淋臂截面为椭圆型，喷淋臂两端可拆卸，提供图片说明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材质</w:t>
            </w:r>
          </w:p>
        </w:tc>
        <w:tc>
          <w:tcPr>
            <w:tcW w:w="49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整体为316不锈钢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彩页或说明书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设备不良事件情况</w:t>
            </w:r>
          </w:p>
        </w:tc>
        <w:tc>
          <w:tcPr>
            <w:tcW w:w="49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厂家自报设备近三年不良事件情况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49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腔镜器械清洗消毒架1套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92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1.加注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标识的指标为必须响应指标，任意一项不满足要求即做废标处理；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2.加注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标识的指标为重要指标；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3.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及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标识的指标需按照采购需求表（物资类）备注中明确的要求提供相关证明材料。</w:t>
            </w:r>
          </w:p>
        </w:tc>
      </w:tr>
    </w:tbl>
    <w:p>
      <w:bookmarkStart w:id="20" w:name="_GoBack"/>
      <w:bookmarkEnd w:id="2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26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2024-11-14T00:23:34Z</dcterms:created>
  <dc:creator>DOCTOR</dc:creator>
  <cp:lastModifiedBy>DOCTOR</cp:lastModifiedBy>
  <dcterms:modified xsi:type="dcterms:W3CDTF">2024-11-14T00:23:37Z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