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28470294"/>
      <w:bookmarkStart w:id="1" w:name="_Toc112681847"/>
      <w:bookmarkStart w:id="2" w:name="_Toc112768493"/>
      <w:bookmarkStart w:id="3" w:name="_Toc13168"/>
      <w:bookmarkStart w:id="4" w:name="_Toc14060"/>
      <w:bookmarkStart w:id="5" w:name="_Toc130888006"/>
      <w:bookmarkStart w:id="6" w:name="_Toc32238"/>
      <w:bookmarkStart w:id="7" w:name="_Toc22203"/>
      <w:bookmarkStart w:id="8" w:name="_Toc22977"/>
      <w:bookmarkStart w:id="9" w:name="_Toc13753"/>
      <w:bookmarkStart w:id="10" w:name="_Toc21712"/>
      <w:bookmarkStart w:id="11" w:name="_Toc132191258"/>
      <w:bookmarkStart w:id="12" w:name="_Toc25325"/>
      <w:bookmarkStart w:id="13" w:name="_Toc17189"/>
      <w:bookmarkStart w:id="14" w:name="_Toc128154367"/>
      <w:bookmarkStart w:id="15" w:name="_Toc132186974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（商务要求均为实质性条款，不接受负偏离）</w:t>
      </w:r>
    </w:p>
    <w:p>
      <w:pPr>
        <w:rPr>
          <w:rFonts w:hint="eastAsia" w:ascii="Times New Roman" w:hAnsi="宋体" w:eastAsia="宋体" w:cs="Times New Roman"/>
          <w:b/>
          <w:bCs w:val="0"/>
          <w:color w:val="auto"/>
          <w:kern w:val="0"/>
          <w:sz w:val="28"/>
          <w:szCs w:val="28"/>
          <w:highlight w:val="none"/>
          <w:lang w:val="en-US" w:eastAsia="zh-CN" w:bidi="ar-SA"/>
        </w:rPr>
      </w:pPr>
    </w:p>
    <w:p>
      <w:pPr>
        <w:rPr>
          <w:rFonts w:hint="eastAsia" w:ascii="Times New Roman" w:hAnsi="宋体" w:eastAsia="宋体" w:cs="Times New Roman"/>
          <w:b/>
          <w:bCs w:val="0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/>
          <w:bCs w:val="0"/>
          <w:color w:val="auto"/>
          <w:kern w:val="0"/>
          <w:sz w:val="28"/>
          <w:szCs w:val="28"/>
          <w:highlight w:val="none"/>
          <w:lang w:val="en-US" w:eastAsia="zh-CN" w:bidi="ar-SA"/>
        </w:rPr>
        <w:t>（一）售后条款</w:t>
      </w:r>
    </w:p>
    <w:tbl>
      <w:tblPr>
        <w:tblStyle w:val="5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941"/>
        <w:gridCol w:w="5940"/>
        <w:gridCol w:w="89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售后条款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7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零配件保证供应时长</w:t>
            </w:r>
          </w:p>
        </w:tc>
        <w:tc>
          <w:tcPr>
            <w:tcW w:w="6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保修期外维修费用</w:t>
            </w:r>
          </w:p>
        </w:tc>
        <w:tc>
          <w:tcPr>
            <w:tcW w:w="6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技术支持和服务网点</w:t>
            </w:r>
          </w:p>
        </w:tc>
        <w:tc>
          <w:tcPr>
            <w:tcW w:w="6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6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合同签订后3个月内交货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</w:tbl>
    <w:p>
      <w:pPr>
        <w:pStyle w:val="7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（二）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7"/>
        <w:spacing w:line="560" w:lineRule="exact"/>
        <w:ind w:firstLine="560"/>
        <w:rPr>
          <w:bCs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u w:val="singl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。</w:t>
      </w:r>
    </w:p>
    <w:p>
      <w:pPr>
        <w:pStyle w:val="7"/>
        <w:spacing w:line="560" w:lineRule="exact"/>
        <w:ind w:firstLine="560"/>
        <w:rPr>
          <w:bCs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基于项目合同履行形成的知识产权和其他权益，其权属归采购单位所有，法律另有规定的除外。</w:t>
      </w:r>
    </w:p>
    <w:p>
      <w:pPr>
        <w:pStyle w:val="7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（三）物资编目编码、打码贴签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要求</w:t>
      </w:r>
    </w:p>
    <w:p>
      <w:pPr>
        <w:pStyle w:val="7"/>
        <w:spacing w:line="560" w:lineRule="exact"/>
        <w:ind w:firstLine="560"/>
        <w:rPr>
          <w:rFonts w:ascii="宋体" w:hAnsi="宋体"/>
          <w:bCs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u w:val="single"/>
          <w:lang w:val="zh-CN"/>
        </w:rPr>
        <w:t>本项目对物资的编目编码、打码贴签要求，投标供应商应当予以明确响应，相关费用包含在报价中。</w:t>
      </w:r>
    </w:p>
    <w:p>
      <w:pPr>
        <w:pStyle w:val="7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（四）付款方式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560" w:firstLineChars="200"/>
        <w:textAlignment w:val="auto"/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u w:val="single"/>
          <w:lang w:val="zh-CN" w:eastAsia="zh-CN" w:bidi="ar-SA"/>
        </w:rPr>
      </w:pP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u w:val="single"/>
          <w:lang w:val="zh-CN" w:eastAsia="zh-CN" w:bidi="ar-SA"/>
        </w:rPr>
        <w:t>签订合同付(预付)0%,物资到货(服务完成)验收后付95%，质量保证金5%。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/>
        <w:textAlignment w:val="auto"/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>
      <w:pPr>
        <w:rPr>
          <w:color w:val="auto"/>
          <w:lang w:val="zh-CN"/>
        </w:rPr>
      </w:pPr>
    </w:p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outlineLvl w:val="1"/>
        <w:rPr>
          <w:rFonts w:hint="eastAsia" w:ascii="黑体" w:hAnsi="黑体" w:cs="黑体"/>
          <w:b w:val="0"/>
          <w:color w:val="auto"/>
          <w:sz w:val="28"/>
          <w:szCs w:val="28"/>
        </w:rPr>
      </w:pPr>
      <w:bookmarkStart w:id="16" w:name="_Toc128150778"/>
      <w:bookmarkStart w:id="17" w:name="_Toc127820564"/>
      <w:bookmarkStart w:id="18" w:name="_Toc128150134"/>
      <w:bookmarkStart w:id="19" w:name="_Toc128397970"/>
      <w:bookmarkStart w:id="20" w:name="_Toc132190634"/>
      <w:bookmarkStart w:id="21" w:name="_Toc17887"/>
      <w:bookmarkStart w:id="22" w:name="_Toc128151027"/>
      <w:bookmarkStart w:id="23" w:name="_Toc130887500"/>
      <w:r>
        <w:rPr>
          <w:rFonts w:hint="eastAsia" w:ascii="黑体" w:hAnsi="黑体" w:cs="黑体"/>
          <w:b w:val="0"/>
          <w:color w:val="auto"/>
          <w:sz w:val="28"/>
          <w:szCs w:val="28"/>
        </w:rPr>
        <w:t>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>
      <w:pPr>
        <w:pStyle w:val="8"/>
        <w:rPr>
          <w:rFonts w:ascii="宋体" w:hAnsi="宋体"/>
          <w:bCs/>
          <w:snapToGrid w:val="0"/>
          <w:color w:val="auto"/>
          <w:sz w:val="28"/>
          <w:szCs w:val="28"/>
        </w:rPr>
      </w:pPr>
    </w:p>
    <w:tbl>
      <w:tblPr>
        <w:tblStyle w:val="5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890"/>
        <w:gridCol w:w="2405"/>
        <w:gridCol w:w="280"/>
        <w:gridCol w:w="2800"/>
        <w:gridCol w:w="111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医疗设备技术需求确认表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手术器械清洗工作站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总数量（台/套）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证明材料类型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具备对手术器械超声清洗、漂洗、消毒、终末漂洗等功能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其他认证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具备ISO13485及ISO9001认证并提供证书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清洗槽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≥5个（至少包含两个超声清洗槽、三个普通清洗槽），槽内有容量标示，标示分度值≤2L，误差≤20%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台面、背板材质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采用高分子复合材料板材或合成塑料，符合GB/T 11547规范要求并提供第三方检测报告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台面、背板强度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拉伸强度≥35.0MPa、断裂生长率≥5.7%、弯曲强度≥53.9MPa、完全破坏条件下简支梁缺口冲击强度≥10.2kJ/m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、10%应变时的压缩应力≥52.3MPa，提供第三方检测报告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板材厚度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板材耐腐蚀性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板材在1%NaOH 溶液和5% 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溶液中浸泡48小时无变化，提供板材耐1%NaOH 溶液和5% 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 xml:space="preserve">4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溶液腐蚀的检测报告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框架材质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304不锈钢，厚度≥1.2mm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超声清洗槽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316不锈钢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容积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≥30L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·4.7.3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超声频率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≥3种频率可选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功率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超声功率密度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≥0.3W/cm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·4.7.6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设置功能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具有自动循环加热、超声、自动排水、自动加酶功能，可设置温度、时间，程序设置好后可一键式操作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高压水枪、 气枪材质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304不锈钢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高压水枪、 气枪数量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≥4支（水枪、气枪至少各2支）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水、气枪喷嘴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配备内镜清洗专用的能适用不同口径的内径接口锥型喷头≥8个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吊柜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清洗槽上方配备吊柜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给排水系统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304不锈钢水龙头，304高压编织软管及PP-R管材管件，符合GB/T 18742.2-2002中PP-R技术要求和SH-T 1750-2005技术要求，并提供管路的过氧乙酸、领本二甲醛、沃尔醛耐腐蚀性报告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开关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具有独立的冷热水开关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水源开关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自动电子水源开关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·4.13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过滤功能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具备次溴酸过滤装置，大肠杆菌去除率100%，提供第三方机构检测报告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干燥台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配有干燥台，长度≥1m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清洗工作站1套（配有超声波清洗机≥2台），喷头8个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指标为必须响应指标，任意一项不满足要求即做无效投标处理；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3.★及▲标识的指标需按照采购需求表备注中明确的要求提供相关证明材料。</w:t>
            </w:r>
          </w:p>
        </w:tc>
      </w:tr>
    </w:tbl>
    <w:p>
      <w:bookmarkStart w:id="24" w:name="_GoBack"/>
      <w:bookmarkEnd w:id="2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01C601"/>
    <w:multiLevelType w:val="singleLevel"/>
    <w:tmpl w:val="8501C60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9E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2024-11-27T12:39:27Z</dcterms:created>
  <dc:creator>DOCTOR</dc:creator>
  <cp:lastModifiedBy>DOCTOR</cp:lastModifiedBy>
  <dcterms:modified xsi:type="dcterms:W3CDTF">2024-11-27T12:40:28Z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