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血液透析机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 xml:space="preserve">    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用于急性、慢性肾功能衰竭患者进行血液透析治疗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NMPA(CFDA)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显示屏幕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≥10英寸，旋转角度≥180°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具备血液透析（HD)、序贯超滤（ISO-UF)、单针透析（SN-CC)等治疗模式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治疗曲线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具备超滤曲线和Na曲线，超滤曲线≥8种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透析液流量调节范围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100～800ml/min，调整梯度≤100ml/min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透析液温度设定范围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33～39℃，误差≤0.5℃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超滤系统最大除水速度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≥4000ml/h，误差≤±1%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血泵流量调节范围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10-600ml/min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肝素泵流量调节范围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0～10ml/h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肝素泵注射器相关功能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具备注射器脱落检测和注入速度检测功能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压力测试功能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具备，治疗过程中可进行周期性的压力测试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静脉压监测范围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-50～＋500mmHg，误差≤±10mmHg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动脉压监测范围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-300～＋200mmHg,误差≤±10mmHg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跨膜压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</w:rPr>
              <w:t>监测范围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-100～＋500mmHg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血压计组件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</w:rPr>
              <w:t>具备联机血压计和血压计袖带，具备血压监测联动应急处置功能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在线充分性监测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具备在线清除率（Kt/V）监测组件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液面调节功能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具备动脉壶、静脉壶的液面高度调节功能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透析液流量调节功能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具备，可与血流量联动并自动调节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干粉组件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具备干粉筒支架，支持通用B干粉筒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细菌过滤器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电导度监测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具备电导度监测功能，具备B电导度监测功能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气泡检测和报警功能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具备，可检测气泡体积≤1μL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漏血检测和报警功能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漏血监测精度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≤0.5ml/min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联机排液口组件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具备联机排液口组件，预充废液联机排放，无需连接废液袋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自动排液功能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具备，可自动排空透析器膜内外以及血路中废液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自动引血功能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具备，支持全自动密闭式双向引血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备用电池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配备备用电池，待机时间≥30min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清洗消毒方式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支持水洗、热洗、热化学消毒和化学消毒等消毒方式，消毒结束后可自动关机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热化学消毒温度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≥85℃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热化学消毒时间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≤40min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具备多色报警指示灯，具备声光报警指示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配置需求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</w:t>
            </w:r>
            <w:r>
              <w:rPr>
                <w:rFonts w:ascii="黑体" w:hAnsi="黑体" w:eastAsia="黑体" w:cs="黑体"/>
                <w:kern w:val="0"/>
                <w:sz w:val="20"/>
              </w:rPr>
              <w:t>×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6台，血压计袖带1</w:t>
            </w:r>
            <w:r>
              <w:rPr>
                <w:rFonts w:ascii="黑体" w:hAnsi="黑体" w:eastAsia="黑体" w:cs="黑体"/>
                <w:kern w:val="0"/>
                <w:sz w:val="20"/>
              </w:rPr>
              <w:t>×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6套，细菌过滤器2</w:t>
            </w:r>
            <w:r>
              <w:rPr>
                <w:rFonts w:ascii="黑体" w:hAnsi="黑体" w:eastAsia="黑体" w:cs="黑体"/>
                <w:kern w:val="0"/>
                <w:sz w:val="20"/>
              </w:rPr>
              <w:t>×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6根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 xml:space="preserve">       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物资到货（服务完成）验收后付9</w:t>
            </w:r>
            <w:r>
              <w:rPr>
                <w:rFonts w:ascii="黑体" w:hAnsi="宋体" w:eastAsia="黑体" w:cs="黑体"/>
                <w:kern w:val="0"/>
                <w:sz w:val="20"/>
              </w:rPr>
              <w:t>5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="400" w:hanging="400" w:hangingChars="200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维修响应时间≤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24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小时内，维修到达现场时间≤</w:t>
            </w:r>
            <w:r>
              <w:rPr>
                <w:rFonts w:ascii="黑体" w:hAnsi="宋体" w:eastAsia="黑体" w:cs="黑体"/>
                <w:iCs/>
                <w:kern w:val="0"/>
                <w:sz w:val="20"/>
              </w:rPr>
              <w:t>48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</w:tbl>
    <w:p/>
    <w:p/>
    <w:p/>
    <w:p/>
    <w:p/>
    <w:sectPr>
      <w:pgSz w:w="11906" w:h="16838"/>
      <w:pgMar w:top="1440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Arial Unicode MS"/>
    <w:panose1 w:val="00000000000000000000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E3561"/>
    <w:rsid w:val="00040A33"/>
    <w:rsid w:val="0004682B"/>
    <w:rsid w:val="00086674"/>
    <w:rsid w:val="000E1507"/>
    <w:rsid w:val="000E367C"/>
    <w:rsid w:val="001222DA"/>
    <w:rsid w:val="001E3991"/>
    <w:rsid w:val="002B1AE3"/>
    <w:rsid w:val="002C1619"/>
    <w:rsid w:val="002F47AB"/>
    <w:rsid w:val="003C3D18"/>
    <w:rsid w:val="00405CA7"/>
    <w:rsid w:val="004E3F8D"/>
    <w:rsid w:val="00551405"/>
    <w:rsid w:val="00690708"/>
    <w:rsid w:val="0071336D"/>
    <w:rsid w:val="0071563B"/>
    <w:rsid w:val="007D3188"/>
    <w:rsid w:val="00805F70"/>
    <w:rsid w:val="00851D42"/>
    <w:rsid w:val="00963A84"/>
    <w:rsid w:val="00A53275"/>
    <w:rsid w:val="00AE3561"/>
    <w:rsid w:val="00AE3F24"/>
    <w:rsid w:val="00B4724D"/>
    <w:rsid w:val="00B652DC"/>
    <w:rsid w:val="00B743F4"/>
    <w:rsid w:val="00BB1870"/>
    <w:rsid w:val="00BC344F"/>
    <w:rsid w:val="00BD5959"/>
    <w:rsid w:val="00BE6A4F"/>
    <w:rsid w:val="00C93C84"/>
    <w:rsid w:val="00C95836"/>
    <w:rsid w:val="00CD2931"/>
    <w:rsid w:val="00D20200"/>
    <w:rsid w:val="00D73F4F"/>
    <w:rsid w:val="00D90BF1"/>
    <w:rsid w:val="00FB0697"/>
    <w:rsid w:val="00FE78BF"/>
    <w:rsid w:val="011D3A14"/>
    <w:rsid w:val="0D657528"/>
    <w:rsid w:val="12363005"/>
    <w:rsid w:val="12D327B3"/>
    <w:rsid w:val="13266164"/>
    <w:rsid w:val="1A2B0E68"/>
    <w:rsid w:val="1CCE7AB2"/>
    <w:rsid w:val="1CEB1F60"/>
    <w:rsid w:val="20CD0A22"/>
    <w:rsid w:val="22EA3975"/>
    <w:rsid w:val="269229DA"/>
    <w:rsid w:val="28FA4710"/>
    <w:rsid w:val="323D19DA"/>
    <w:rsid w:val="35622545"/>
    <w:rsid w:val="389C26CE"/>
    <w:rsid w:val="39BF22A6"/>
    <w:rsid w:val="49271ED7"/>
    <w:rsid w:val="51AA3D08"/>
    <w:rsid w:val="54367E96"/>
    <w:rsid w:val="57A0106E"/>
    <w:rsid w:val="58601873"/>
    <w:rsid w:val="5BB923F3"/>
    <w:rsid w:val="5C305927"/>
    <w:rsid w:val="64D40AC9"/>
    <w:rsid w:val="6E7E796C"/>
    <w:rsid w:val="6F36422D"/>
    <w:rsid w:val="72D240B5"/>
    <w:rsid w:val="74B04E8D"/>
    <w:rsid w:val="752E6FA5"/>
    <w:rsid w:val="762E7493"/>
    <w:rsid w:val="7A690F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2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3">
    <w:name w:val="font11"/>
    <w:basedOn w:val="8"/>
    <w:qFormat/>
    <w:uiPriority w:val="0"/>
    <w:rPr>
      <w:rFonts w:hint="eastAsia" w:ascii="宋体" w:hAnsi="宋体" w:eastAsia="宋体" w:cs="宋体"/>
      <w:color w:val="333333"/>
      <w:sz w:val="22"/>
      <w:szCs w:val="22"/>
      <w:u w:val="none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副标题 Char"/>
    <w:basedOn w:val="8"/>
    <w:link w:val="6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381</Words>
  <Characters>2174</Characters>
  <Lines>18</Lines>
  <Paragraphs>5</Paragraphs>
  <TotalTime>51</TotalTime>
  <ScaleCrop>false</ScaleCrop>
  <LinksUpToDate>false</LinksUpToDate>
  <CharactersWithSpaces>2550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2024-01-02T09:10:00Z</dcterms:created>
  <dc:creator>裴育苗</dc:creator>
  <cp:lastModifiedBy>Lenovo</cp:lastModifiedBy>
  <cp:lastPrinted>2024-02-05T02:01:00Z</cp:lastPrinted>
  <dcterms:modified xsi:type="dcterms:W3CDTF">2024-12-02T07:41:08Z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6CC4A14B82BC4BAE9A3BBE9C766FC5F9</vt:lpwstr>
  </property>
</Properties>
</file>