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rPr>
          <w:rFonts w:hint="eastAsia" w:ascii="黑体" w:hAnsi="黑体" w:eastAsia="黑体" w:cs="黑体"/>
          <w:b w:val="0"/>
          <w:sz w:val="28"/>
          <w:szCs w:val="28"/>
          <w:highlight w:val="none"/>
          <w:lang w:eastAsia="zh-CN"/>
        </w:rPr>
      </w:pPr>
      <w:bookmarkStart w:id="0" w:name="_Toc112768493"/>
      <w:bookmarkStart w:id="1" w:name="_Toc22977"/>
      <w:bookmarkStart w:id="2" w:name="_Toc132191258"/>
      <w:bookmarkStart w:id="3" w:name="_Toc128470294"/>
      <w:bookmarkStart w:id="4" w:name="_Toc14060"/>
      <w:bookmarkStart w:id="5" w:name="_Toc130888006"/>
      <w:bookmarkStart w:id="6" w:name="_Toc112681847"/>
      <w:bookmarkStart w:id="7" w:name="_Toc132186974"/>
      <w:bookmarkStart w:id="8" w:name="_Toc128154367"/>
      <w:bookmarkStart w:id="9" w:name="_Toc17189"/>
      <w:bookmarkStart w:id="10" w:name="_Toc25325"/>
      <w:bookmarkStart w:id="11" w:name="_Toc22203"/>
      <w:bookmarkStart w:id="12" w:name="_Toc32238"/>
      <w:bookmarkStart w:id="13" w:name="_Toc13753"/>
      <w:bookmarkStart w:id="14" w:name="_Toc21712"/>
      <w:bookmarkStart w:id="15" w:name="_Toc13168"/>
      <w:bookmarkStart w:id="16" w:name="_Toc285612596"/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一、商务要求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（商务要求均为实质性响应条款，不接受负偏离）</w:t>
      </w:r>
    </w:p>
    <w:p>
      <w:pPr>
        <w:pStyle w:val="3"/>
        <w:spacing w:before="0" w:after="0" w:line="560" w:lineRule="exact"/>
        <w:rPr>
          <w:rFonts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（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一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）经济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tbl>
      <w:tblPr>
        <w:tblStyle w:val="4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7"/>
        <w:gridCol w:w="1167"/>
        <w:gridCol w:w="5462"/>
        <w:gridCol w:w="109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6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6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6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6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描述应提供的配套专修工具和使用工具。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3"/>
        <w:spacing w:before="0" w:after="0" w:line="560" w:lineRule="exact"/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（二）知识产权和保密要求</w:t>
      </w:r>
    </w:p>
    <w:p>
      <w:pPr>
        <w:pStyle w:val="6"/>
        <w:spacing w:line="360" w:lineRule="auto"/>
        <w:ind w:firstLine="560"/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对采购单位提供的人员、地址、采购情况等信息要保守秘密，不得向外界透露。</w:t>
      </w:r>
      <w:r>
        <w:rPr>
          <w:rFonts w:hint="eastAsia"/>
          <w:sz w:val="28"/>
          <w:szCs w:val="28"/>
        </w:rPr>
        <w:t>成交</w:t>
      </w:r>
      <w:r>
        <w:rPr>
          <w:rFonts w:hint="eastAsia"/>
          <w:sz w:val="28"/>
          <w:szCs w:val="28"/>
          <w:lang w:val="zh-CN"/>
        </w:rPr>
        <w:t>通知书发出后，采购单位将与</w:t>
      </w:r>
      <w:r>
        <w:rPr>
          <w:rFonts w:hint="eastAsia"/>
          <w:sz w:val="28"/>
          <w:szCs w:val="28"/>
        </w:rPr>
        <w:t>成交</w:t>
      </w:r>
      <w:r>
        <w:rPr>
          <w:rFonts w:hint="eastAsia"/>
          <w:sz w:val="28"/>
          <w:szCs w:val="28"/>
          <w:lang w:val="zh-CN"/>
        </w:rPr>
        <w:t>供应商签订保密协议。</w:t>
      </w:r>
    </w:p>
    <w:p>
      <w:pPr>
        <w:pStyle w:val="6"/>
        <w:spacing w:line="360" w:lineRule="auto"/>
        <w:ind w:firstLine="560"/>
        <w:rPr>
          <w:rFonts w:hint="eastAsia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基于项目合同履行形成的知识产权和其他权益，其权属归采购单位所有，法律另有规定的除外。</w:t>
      </w:r>
    </w:p>
    <w:p>
      <w:pPr>
        <w:pStyle w:val="3"/>
        <w:spacing w:before="0" w:after="0" w:line="560" w:lineRule="exact"/>
        <w:rPr>
          <w:rFonts w:hint="eastAsia" w:ascii="黑体" w:hAnsi="黑体" w:cs="黑体"/>
          <w:b w:val="0"/>
          <w:sz w:val="28"/>
          <w:szCs w:val="28"/>
          <w:highlight w:val="none"/>
          <w:lang w:val="zh-CN" w:eastAsia="zh-CN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  <w:lang w:val="zh-CN" w:eastAsia="zh-CN"/>
        </w:rPr>
        <w:t>（三）物资编目编码、打码贴签要求</w:t>
      </w:r>
    </w:p>
    <w:p>
      <w:pPr>
        <w:pStyle w:val="6"/>
        <w:spacing w:line="360" w:lineRule="auto"/>
        <w:ind w:firstLine="560"/>
        <w:rPr>
          <w:rFonts w:ascii="宋体" w:hAnsi="宋体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color w:val="auto"/>
          <w:sz w:val="28"/>
          <w:szCs w:val="28"/>
          <w:highlight w:val="none"/>
          <w:lang w:val="zh-CN"/>
        </w:rPr>
        <w:t>本项目对物资的编目编码、打码贴签要求，投标供应商应当予以明确响应，相关费用包含在报价中。</w:t>
      </w: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bookmarkStart w:id="17" w:name="_Toc27651"/>
      <w:bookmarkStart w:id="18" w:name="_Toc20366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技术要求</w:t>
      </w:r>
      <w:bookmarkEnd w:id="17"/>
      <w:bookmarkEnd w:id="18"/>
    </w:p>
    <w:p>
      <w:pPr>
        <w:pStyle w:val="2"/>
      </w:pPr>
    </w:p>
    <w:tbl>
      <w:tblPr>
        <w:tblStyle w:val="4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4"/>
        <w:gridCol w:w="334"/>
        <w:gridCol w:w="334"/>
        <w:gridCol w:w="285"/>
        <w:gridCol w:w="1758"/>
        <w:gridCol w:w="2142"/>
        <w:gridCol w:w="1903"/>
        <w:gridCol w:w="285"/>
        <w:gridCol w:w="101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清洗工作站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医院中心供应室或手术室的多功能综合清洗设备，可用于重复使用的诊疗器械（包括微创手术器械、硬式内窥镜等）、器具和物品的预处理蒸汽清洗、酶洗、超声清洗、终末漂洗、煮沸消毒和干燥，整体可定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材质要求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台面、背板、槽体采用优质不锈钢，槽体厚度≥1.5mm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台面形状要求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沥水台面可确保清洗时的水不会流落地面。台面高度≥850mm，包含蒸汽清洗槽、酶洗槽、漂洗槽和末洗槽等结构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槽盖材质要求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槽盖采用不锈钢材质，整体成型，配置密封条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清洗槽规格尺寸要求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清洗槽尺寸≥长600mm*宽500mm*高250mm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柜体形状要求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柜体采用分段式，柜体底部有可移动脚轮，配有升降地脚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支架材质要求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支架选用全优质不锈钢材质，厚度≥1.2mm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柜门材质及结构要求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柜门采用优质不锈钢材质，复合门为对开式结构，门铰链采用阻尼铰链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柜体底板材质要求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柜体底板采用不锈钢材质，厚度≥1.2mm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清洗装置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材质要求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外罩采用SUS304不锈钢拉丝板，板材厚度≥1mm；罐体材料为优质不锈钢筒体，壁厚≥3mm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清洗装置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结构要求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外罩顶端和侧端具备通风口，可保证及时散热。罐体焊接符合行业标准，设计压力≥1.0Mpa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清洗装置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容积要求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清洗装置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手柄要求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选用优质尼龙材质，符合人性化设计；加热到0.8Mpa，连续喷气15min，操作手柄表面温度≤55℃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清洗装置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控制系统要求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与设备一体式设计，液晶显示屏外置，一键式操作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清洗装置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注水系统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采用优质注水泵，全程自动控制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清洗装置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干烧报警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采用优质过热保护器，达到过热保护器保护温度值时，立即停止加热，排出故障后，对过热保护器手动复位后即可正常使用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可升降防护装置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防护罩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防护罩材质采用透明亚克力，板材厚度≥8mm，可手动升降结构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排风装置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风机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离心风机，风机风量≥600立方米/h，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排风装置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冷凝装置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内设蒸汽冷凝装置，可实现蒸汽的冷凝，对冷凝后的蒸汽排入下水道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煮沸功能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液晶显示屏，按键操作，具备一键启动功能，故障自动检测功能，温度可调并可保存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煮沸功能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加热方式及功率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采用电加热方式，加热功率≥9kVA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清洗喷枪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高压水枪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高压水枪枪体采用不锈钢材质，配备≥8个清洗喷嘴，清洗喷嘴与枪体之间可以任意更换，适合不同类型的内镜管道，耐受压力0-0.7MPa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清洗喷枪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高压气枪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高压气枪枪体采用不锈钢材质，配备≥8个清洗喷嘴，清洗喷嘴与枪体之间可以任意更换，适合不同类型的内镜管道，耐受压力0-0.7MPa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排水系统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不锈钢水龙头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水龙头采用优质不锈钢材质，可360度旋转，有冷热水接口，冷热水开关独立控制，流量≥0.2L/s，多层防腐防锈处理，镀层可承受强酸强碱环境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排水系统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不锈钢落水器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落水器采用优质不锈钢材质，排水采用螺纹软管式结构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设备指标异常提示和安全报警声、光指示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清洗工作站一套（含蒸汽清洗机1套、清洗槽1套、内嵌超声波清洗机1套、终末漂洗槽1套、内嵌煮沸消毒槽1套、沥水台1套）（包含全部免费的安装服务）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0" w:type="auto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指标为必须响应指标，任意一项不满足要求即做无效投标处理；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3.★及▲标识的指标需按照采购需求表（物资类）备注中明确的要求提供相关证明材料。</w:t>
            </w:r>
          </w:p>
        </w:tc>
      </w:tr>
    </w:tbl>
    <w:p>
      <w:bookmarkStart w:id="19" w:name="_GoBack"/>
      <w:bookmarkEnd w:id="1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FE1BD"/>
    <w:multiLevelType w:val="singleLevel"/>
    <w:tmpl w:val="6D9FE1B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C03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2024-12-03T00:07:20Z</dcterms:created>
  <dc:creator>DOCTOR</dc:creator>
  <cp:lastModifiedBy>DOCTOR</cp:lastModifiedBy>
  <dcterms:modified xsi:type="dcterms:W3CDTF">2024-12-03T00:08:17Z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