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numPr>
          <w:ilvl w:val="0"/>
          <w:numId w:val="1"/>
        </w:numPr>
        <w:rPr>
          <w:rFonts w:hint="eastAsia" w:ascii="黑体" w:hAnsi="黑体" w:cs="黑体"/>
          <w:sz w:val="28"/>
          <w:szCs w:val="28"/>
        </w:rPr>
      </w:pPr>
      <w:bookmarkStart w:id="0" w:name="_Toc128150133"/>
      <w:bookmarkStart w:id="1" w:name="_Toc25703"/>
      <w:bookmarkStart w:id="2" w:name="_Toc127820563"/>
      <w:bookmarkStart w:id="3" w:name="_Toc130887499"/>
      <w:bookmarkStart w:id="4" w:name="_Toc22387"/>
      <w:bookmarkStart w:id="5" w:name="_Toc132190633"/>
      <w:bookmarkStart w:id="6" w:name="_Toc189"/>
      <w:bookmarkStart w:id="7" w:name="_Toc128397969"/>
      <w:bookmarkStart w:id="8" w:name="_Toc128151026"/>
      <w:bookmarkStart w:id="9" w:name="_Toc128150777"/>
      <w:bookmarkStart w:id="10" w:name="_Toc30945"/>
      <w:r>
        <w:rPr>
          <w:rFonts w:hint="eastAsia" w:ascii="黑体" w:hAnsi="黑体" w:cs="黑体"/>
          <w:sz w:val="28"/>
          <w:szCs w:val="28"/>
        </w:rPr>
        <w:t>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rPr>
          <w:rFonts w:hint="eastAsia" w:ascii="黑体" w:hAnsi="黑体" w:cs="黑体"/>
          <w:sz w:val="28"/>
          <w:szCs w:val="28"/>
        </w:rPr>
        <w:t>（商务条款均为实质性条款，不接受负偏离）</w:t>
      </w:r>
    </w:p>
    <w:tbl>
      <w:tblPr>
        <w:tblStyle w:val="5"/>
        <w:tblW w:w="4998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35"/>
        <w:gridCol w:w="1445"/>
        <w:gridCol w:w="5016"/>
        <w:gridCol w:w="937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30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30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签订合同付（预付）20%，物资到货（服务完成）验收后付75%。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30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验收合格后满3年无质量问题支付剩余5%（不超过5%）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30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</w:p>
        </w:tc>
        <w:tc>
          <w:tcPr>
            <w:tcW w:w="300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56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原厂授权或者企业承诺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5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0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5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</w:p>
        </w:tc>
        <w:tc>
          <w:tcPr>
            <w:tcW w:w="300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56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5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0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5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</w:p>
        </w:tc>
        <w:tc>
          <w:tcPr>
            <w:tcW w:w="300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提供不少于2人次、7天的工程师维修培训。</w:t>
            </w:r>
          </w:p>
        </w:tc>
        <w:tc>
          <w:tcPr>
            <w:tcW w:w="56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5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0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5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</w:p>
        </w:tc>
        <w:tc>
          <w:tcPr>
            <w:tcW w:w="300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维修响应时间≤2小时，维修到达现场时间≤24小时。</w:t>
            </w:r>
          </w:p>
        </w:tc>
        <w:tc>
          <w:tcPr>
            <w:tcW w:w="56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5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30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</w:trPr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30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消耗性配件（年平均更换大于1次的配件）和高值配件（价格大于设备成交价5%以上）的报价清单，且高值配件报价之和不得高于设备成交价的110%，不在上述要求配件清单内的消耗性配件和高值配件视为免费提供。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专用工具</w:t>
            </w:r>
          </w:p>
        </w:tc>
        <w:tc>
          <w:tcPr>
            <w:tcW w:w="30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提供设备配套的维修专用工具，资料（操作手册、维修手册等）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</w:trPr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30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应当按照统一要求在物资交付前完成打码贴签工作。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</w:trPr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</w:t>
            </w:r>
          </w:p>
        </w:tc>
        <w:tc>
          <w:tcPr>
            <w:tcW w:w="30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基于项目合同履行形成的知识产权和其他权益，其权属归采购单位所有，法律另有规定的除外。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7"/>
        <w:spacing w:line="560" w:lineRule="exact"/>
        <w:ind w:firstLine="0" w:firstLineChars="0"/>
        <w:rPr>
          <w:rFonts w:ascii="宋体" w:hAnsi="宋体"/>
          <w:bCs/>
          <w:sz w:val="28"/>
          <w:szCs w:val="28"/>
          <w:lang w:val="zh-CN"/>
        </w:rPr>
      </w:pPr>
    </w:p>
    <w:p>
      <w:pPr>
        <w:pStyle w:val="3"/>
        <w:numPr>
          <w:ilvl w:val="0"/>
          <w:numId w:val="2"/>
        </w:numPr>
        <w:spacing w:before="0" w:after="0" w:line="560" w:lineRule="exact"/>
        <w:ind w:firstLine="560" w:firstLineChars="200"/>
        <w:rPr>
          <w:b w:val="0"/>
          <w:szCs w:val="44"/>
          <w:lang w:val="zh-CN"/>
        </w:rPr>
      </w:pPr>
      <w:bookmarkStart w:id="11" w:name="_Toc128151027"/>
      <w:bookmarkStart w:id="12" w:name="_Toc128397970"/>
      <w:bookmarkStart w:id="13" w:name="_Toc128150134"/>
      <w:bookmarkStart w:id="14" w:name="_Toc128150778"/>
      <w:bookmarkStart w:id="15" w:name="_Toc130887500"/>
      <w:bookmarkStart w:id="16" w:name="_Toc132190634"/>
      <w:bookmarkStart w:id="17" w:name="_Toc127820564"/>
      <w:r>
        <w:rPr>
          <w:rFonts w:hint="eastAsia" w:ascii="黑体" w:hAnsi="黑体" w:cs="黑体"/>
          <w:b w:val="0"/>
          <w:sz w:val="28"/>
          <w:szCs w:val="28"/>
        </w:rPr>
        <w:t>技术要求</w:t>
      </w:r>
      <w:bookmarkEnd w:id="11"/>
      <w:bookmarkEnd w:id="12"/>
      <w:bookmarkEnd w:id="13"/>
      <w:bookmarkEnd w:id="14"/>
      <w:bookmarkEnd w:id="15"/>
      <w:bookmarkEnd w:id="16"/>
      <w:bookmarkEnd w:id="17"/>
    </w:p>
    <w:tbl>
      <w:tblPr>
        <w:tblStyle w:val="5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3"/>
        <w:gridCol w:w="766"/>
        <w:gridCol w:w="411"/>
        <w:gridCol w:w="764"/>
        <w:gridCol w:w="767"/>
        <w:gridCol w:w="764"/>
        <w:gridCol w:w="1789"/>
        <w:gridCol w:w="769"/>
        <w:gridCol w:w="764"/>
        <w:gridCol w:w="789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12" w:type="pct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116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  <w:t>2024-JQ06-W1464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0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反渗透水处理系统（透析用）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93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45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707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5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2452" w:type="pct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5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47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8" w:hRule="atLeast"/>
        </w:trPr>
        <w:tc>
          <w:tcPr>
            <w:tcW w:w="45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52" w:type="pct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适用于血液透析和相关治疗用水处理，至少满足80台血液净化设备的日常用水需求，并具备化学消毒、膜热消毒和管路热消毒功能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企业承诺或者产品彩页或者技术白皮书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9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具备NMPA(CFDA)认证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设备产水量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L/h（25℃）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≥3600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水质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符合《YY 0572-2015血液透析和相关治疗用水》标准规定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证明材料：需提供产品注册时检测报告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或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专业机构出具的客户端水质监测报告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消毒方式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具备化学消毒、热消毒功能（包括双级膜热消毒及供水管路热消毒）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企业承诺或者产品彩页或者技术白皮书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夜间消毒方式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夜间模式下实现对一级反渗透管路、二级反渗透管路、主机循环管路、透析中心主循环管路的四循环分别单独冲洗流程（需提供设备工作流程图证明该设备具备四通道循环冲洗功能）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细菌（CFU/ml）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≤10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证明材料：需提供产品注册时检测报告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或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专业机构出具的客户端水质监测报告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内毒素（EU/ml）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≤0.03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证明材料：需提供产品注册时检测报告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或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专业机构出具的客户端水质监测报告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纯水电导率（μs/cm）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≤4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证明材料：需提供产品注册时检测报告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或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专业机构出具的客户端水质监测报告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脱盐率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≥99%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废水回收率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≥70%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原水泵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进口，变频双泵，供水压力不低于0.3Mpa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前级过滤器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后级过滤器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过滤精度≤5μm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石英砂罐规格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≥2472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活性炭罐规格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≥2472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树脂罐规格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≥2472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活性炭材质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进口椰壳活性炭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活性炭碘值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≥1000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活性炭空罐接触时间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≥5min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活性炭罐连接方式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双罐串联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树脂材质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进口钠型阳离子树脂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预处理罐控制阀头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进口全自动数字型控制头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反渗透膜壳材质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316医用卫生级不锈钢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反渗透膜材质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进口复合耐高温反渗透膜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企业承诺或者产品彩页或者技术白皮书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反渗透主机管路材质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316医用卫生级不锈钢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一级高压泵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进口，采用变频控制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二级高压泵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进口，采用变频控制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待机自动冲洗反渗透膜功能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化学消毒功能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具备，可利用热消毒水箱对输送管路采取柠檬酸加热消毒（提供水处理主机的操控界面证明水处理设备具备柠檬酸热消毒功能）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企业承诺或者产品彩页或者技术白皮书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管路热消功能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企业承诺或者产品彩页或者技术白皮书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管路热消回水口温度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≥80℃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企业承诺或者产品彩页或者技术白皮书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管路热消水温维持时间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≥20min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企业承诺或者产品彩页或者技术白皮书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管路热消加热方式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在线电磁加热或在线电阻加热(加热器不与水直接接触)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膜热消功能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同时具备一级膜热消毒功能和二级膜热消毒功能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企业承诺或者产品彩页或者技术白皮书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膜热消水温维持时间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≥20min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企业承诺或者产品彩页或者技术白皮书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膜热消管路回水口温度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80℃~85℃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企业承诺或者产品彩页或者技术白皮书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膜热消加热方式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在线电磁加热或在线电阻加热(加热器不与水直接接触)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供水管路材质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PEX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企业承诺或者产品彩页或者技术白皮书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供水管路铺设方式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循环水无死腔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供水管路连接方式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卡箍接头或热熔连接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企业承诺或者产品彩页或者技术白皮书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保温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密闭保温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3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低温补偿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在透析过程中原水温度过低时可自动提高产水效率，避免产水不足问题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主供水管路供水模式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循环直接供水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透析机供水管路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无死腔小循环供水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企业承诺或者产品彩页或者技术白皮书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屏幕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触摸屏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全自动中文控制系统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工况运行显示功能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具备动态显示工艺流程图及各核心部件运行情况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自动运行功能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具备自动切换工作和待机模式功能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应急供水功能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漏水监测功能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显示数据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至少包括：压力、进水电导率、纯水电导率、温度和流量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在线远程监测功能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具备无水、进水压力低、水箱液位低、膜前压力高、电机故障、水质电导率异常等报警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电气安全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具备对电源缺相、电机过流、过载等安全保护功能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供电系统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控制及信号采集电器部件全部采用低压电源24V，配置两套供电系统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设备不良事件情况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厂家自报，提供设备近三年不良事件情况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物联网支持功能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厂商须提供或开放设备物联网接口协议，通过该协议能够读取设备工作状态、参数设置、日志和/或波形等数据，配合医院医疗设备物联网建设工作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配置要求1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流量检测装置≥3套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配置要求2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电导率检测装置≥3套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配置要求3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压力表≥10个（罐式过滤器、软化器、炭吸附罐、滤芯式过滤器的进出水口等位置均安装压力表）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配置要求4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取样阀≥8个（软化器、炭吸附罐、滤芯式过滤器的进出水口等位置均安装取样口）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配置要求5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水温监测装置≥5个（出水口、回水口、一二级RO膜等位置实时监测水温）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配置要求6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一级高压泵1套，二级高压泵1套，原水泵2套，热消毒机1套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2" w:hRule="atLeast"/>
        </w:trPr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1.按照投标文件、采购合同、质量标准等，组织对医疗设备进行质量验收，出具验收报告。验收过程中对于核心参数存疑需检测的，可委托地方具有相应检测能力的机构提供技术支持，费用由投标方承担。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2.设备安装后完成验收前，需提供专业机构出具的水质监测报告。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45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07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384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▲标识的指标负偏离≥8项，投标企业技术分值为0分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45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4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▲标识的指标和“无标识”指标负偏离≥12项，投标企业技术分值为0分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注：1.★指标为必须响应指标，任意一项不满足要求即做废标处理；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5000" w:type="pct"/>
            <w:gridSpan w:val="10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2.★及▲标识的指标，无法明确的默认由企业提供承诺；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5000" w:type="pct"/>
            <w:gridSpan w:val="10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经济要求不接受企业负偏离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。</w:t>
            </w:r>
          </w:p>
        </w:tc>
      </w:tr>
    </w:tbl>
    <w:p>
      <w:bookmarkStart w:id="18" w:name="_GoBack"/>
      <w:bookmarkEnd w:id="1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88EB3"/>
    <w:multiLevelType w:val="singleLevel"/>
    <w:tmpl w:val="34B88EB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857A3F7"/>
    <w:multiLevelType w:val="singleLevel"/>
    <w:tmpl w:val="4857A3F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BEA7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customStyle="1" w:styleId="7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2024-12-03T07:31:53Z</dcterms:created>
  <dc:creator>admin</dc:creator>
  <cp:lastModifiedBy>admin</cp:lastModifiedBy>
  <dcterms:modified xsi:type="dcterms:W3CDTF">2024-12-03T07:32:56Z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